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bookmarkStart w:id="0" w:name="_Toc187242552"/>
    <w:bookmarkStart w:id="1" w:name="_Toc187243734"/>
    <w:bookmarkStart w:id="2" w:name="_Toc190767958"/>
    <w:p w14:paraId="09D36562" w14:textId="4FF39D05" w:rsidR="000E2C35" w:rsidRPr="009C6C81" w:rsidRDefault="00BC6402"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3024157C">
                <wp:simplePos x="0" y="0"/>
                <wp:positionH relativeFrom="column">
                  <wp:posOffset>4205903</wp:posOffset>
                </wp:positionH>
                <wp:positionV relativeFrom="paragraph">
                  <wp:posOffset>324375</wp:posOffset>
                </wp:positionV>
                <wp:extent cx="2590165" cy="75054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50548"/>
                        </a:xfrm>
                        <a:prstGeom prst="rect">
                          <a:avLst/>
                        </a:prstGeom>
                        <a:noFill/>
                        <a:ln w="9525">
                          <a:noFill/>
                          <a:miter lim="800000"/>
                          <a:headEnd/>
                          <a:tailEnd/>
                        </a:ln>
                      </wps:spPr>
                      <wps:txbx>
                        <w:txbxContent>
                          <w:p w14:paraId="5FE02206" w14:textId="649341AB" w:rsidR="00282847" w:rsidRDefault="00BC6402" w:rsidP="00835F95">
                            <w:pPr>
                              <w:pStyle w:val="Heading2"/>
                            </w:pPr>
                            <w:bookmarkStart w:id="3" w:name="_Toc187242553"/>
                            <w:bookmarkStart w:id="4" w:name="_Toc187243735"/>
                            <w:bookmarkStart w:id="5" w:name="_Toc190767959"/>
                            <w:r>
                              <w:t>Cycle to Work Scheme</w:t>
                            </w:r>
                            <w:bookmarkEnd w:id="3"/>
                            <w:bookmarkEnd w:id="4"/>
                            <w:bookmarkEnd w:id="5"/>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1.15pt;margin-top:25.55pt;width:203.95pt;height:59.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" filled="f" stroked="f">
                <v:textbox>
                  <w:txbxContent>
                    <w:p w14:paraId="5FE02206" w14:textId="649341AB" w:rsidR="00282847" w:rsidRDefault="00BC6402" w:rsidP="00835F95">
                      <w:pPr>
                        <w:pStyle w:val="Heading2"/>
                      </w:pPr>
                      <w:bookmarkStart w:id="6" w:name="_Toc187242553"/>
                      <w:bookmarkStart w:id="7" w:name="_Toc187243735"/>
                      <w:bookmarkStart w:id="8" w:name="_Toc190767959"/>
                      <w:r>
                        <w:t>Cycle to Work Scheme</w:t>
                      </w:r>
                      <w:bookmarkEnd w:id="6"/>
                      <w:bookmarkEnd w:id="7"/>
                      <w:bookmarkEnd w:id="8"/>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70C9800D">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FD0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HR Policy</w:t>
      </w:r>
      <w:bookmarkEnd w:id="0"/>
      <w:bookmarkEnd w:id="1"/>
      <w:bookmarkEnd w:id="2"/>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BC6402" w:rsidRDefault="00D13FF1" w:rsidP="00835F95">
            <w:pPr>
              <w:spacing w:line="276" w:lineRule="auto"/>
              <w:jc w:val="center"/>
              <w:rPr>
                <w:rFonts w:cs="Arial"/>
                <w:color w:val="BB1822" w:themeColor="background2"/>
              </w:rPr>
            </w:pPr>
            <w:r w:rsidRPr="00BC6402">
              <w:rPr>
                <w:rFonts w:cs="Arial"/>
                <w:color w:val="BB1822" w:themeColor="background2"/>
              </w:rPr>
              <w:t>Version 1</w:t>
            </w:r>
          </w:p>
          <w:p w14:paraId="0B3A911E" w14:textId="4D09763F" w:rsidR="00D13FF1" w:rsidRPr="00BC6402" w:rsidRDefault="00BC6402" w:rsidP="00835F95">
            <w:pPr>
              <w:spacing w:line="276" w:lineRule="auto"/>
              <w:jc w:val="center"/>
              <w:rPr>
                <w:rFonts w:eastAsiaTheme="minorHAnsi" w:cs="Arial"/>
                <w:color w:val="BB1822" w:themeColor="background2"/>
                <w:lang w:eastAsia="en-US"/>
              </w:rPr>
            </w:pPr>
            <w:r w:rsidRPr="00BC6402">
              <w:rPr>
                <w:rFonts w:cs="Arial"/>
                <w:color w:val="BB1822" w:themeColor="background2"/>
              </w:rPr>
              <w:t>Jan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AF73CE1" w:rsidR="00D13FF1" w:rsidRPr="00BC6402" w:rsidRDefault="00BC6402" w:rsidP="00835F95">
            <w:pPr>
              <w:spacing w:line="276" w:lineRule="auto"/>
              <w:jc w:val="center"/>
              <w:rPr>
                <w:rFonts w:eastAsiaTheme="minorHAnsi" w:cs="Arial"/>
                <w:color w:val="BB1822" w:themeColor="background2"/>
                <w:lang w:eastAsia="en-US"/>
              </w:rPr>
            </w:pPr>
            <w:r w:rsidRPr="00BC6402">
              <w:rPr>
                <w:rFonts w:eastAsiaTheme="minorHAnsi" w:cs="Arial"/>
                <w:color w:val="BB1822" w:themeColor="background2"/>
                <w:lang w:eastAsia="en-US"/>
              </w:rPr>
              <w:t>New policy outlining CFRS’s Cycle to Work Scheme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39F39E7" w:rsidR="00D13FF1" w:rsidRPr="00BC6402" w:rsidRDefault="00BC6402" w:rsidP="00835F95">
            <w:pPr>
              <w:spacing w:line="276" w:lineRule="auto"/>
              <w:jc w:val="center"/>
              <w:rPr>
                <w:rFonts w:eastAsiaTheme="minorHAnsi" w:cs="Arial"/>
                <w:color w:val="BB1822" w:themeColor="background2"/>
                <w:lang w:eastAsia="en-US"/>
              </w:rPr>
            </w:pPr>
            <w:r w:rsidRPr="00BC6402">
              <w:rPr>
                <w:rFonts w:eastAsiaTheme="minorHAnsi" w:cs="Arial"/>
                <w:color w:val="BB1822" w:themeColor="background2"/>
                <w:lang w:eastAsia="en-US"/>
              </w:rPr>
              <w:t>HR</w:t>
            </w:r>
          </w:p>
        </w:tc>
      </w:tr>
    </w:tbl>
    <w:p w14:paraId="34CC4324" w14:textId="72C4F5D2" w:rsidR="009514B6" w:rsidRDefault="009514B6">
      <w:pPr>
        <w:spacing w:line="240" w:lineRule="auto"/>
      </w:pPr>
    </w:p>
    <w:sdt>
      <w:sdtPr>
        <w:rPr>
          <w:rFonts w:ascii="Arial" w:eastAsia="Times New Roman" w:hAnsi="Arial" w:cs="Times New Roman"/>
          <w:b w:val="0"/>
          <w:bCs w:val="0"/>
          <w:color w:val="auto"/>
          <w:sz w:val="24"/>
          <w:szCs w:val="24"/>
          <w:lang w:val="en-GB" w:eastAsia="en-GB"/>
        </w:rPr>
        <w:id w:val="138770260"/>
        <w:docPartObj>
          <w:docPartGallery w:val="Table of Contents"/>
          <w:docPartUnique/>
        </w:docPartObj>
      </w:sdtPr>
      <w:sdtEndPr>
        <w:rPr>
          <w:noProof/>
        </w:rPr>
      </w:sdtEndPr>
      <w:sdtContent>
        <w:p w14:paraId="7BC07B95" w14:textId="4C235FE4" w:rsidR="009514B6" w:rsidRPr="009514B6" w:rsidRDefault="009514B6">
          <w:pPr>
            <w:pStyle w:val="TOCHeading"/>
            <w:rPr>
              <w:rFonts w:ascii="Arial" w:hAnsi="Arial" w:cs="Arial"/>
              <w:color w:val="BB1822" w:themeColor="background2"/>
            </w:rPr>
          </w:pPr>
          <w:r w:rsidRPr="009514B6">
            <w:rPr>
              <w:rFonts w:ascii="Arial" w:hAnsi="Arial" w:cs="Arial"/>
              <w:color w:val="BB1822" w:themeColor="background2"/>
            </w:rPr>
            <w:t>Contents</w:t>
          </w:r>
        </w:p>
        <w:p w14:paraId="0D02DF12" w14:textId="575888BF" w:rsidR="009C11D2" w:rsidRDefault="009514B6" w:rsidP="009C11D2">
          <w:pPr>
            <w:pStyle w:val="TOC1"/>
            <w:rPr>
              <w:rFonts w:asciiTheme="minorHAnsi" w:eastAsiaTheme="minorEastAsia" w:hAnsiTheme="minorHAnsi" w:cstheme="minorBidi"/>
              <w:kern w:val="2"/>
              <w14:ligatures w14:val="standardContextual"/>
            </w:rPr>
          </w:pPr>
          <w:r w:rsidRPr="009514B6">
            <w:rPr>
              <w:rFonts w:cs="Arial"/>
              <w:bCs/>
            </w:rPr>
            <w:fldChar w:fldCharType="begin"/>
          </w:r>
          <w:r w:rsidRPr="009514B6">
            <w:rPr>
              <w:rFonts w:cs="Arial"/>
              <w:bCs/>
            </w:rPr>
            <w:instrText xml:space="preserve"> TOC \o "1-3" \h \z \u </w:instrText>
          </w:r>
          <w:r w:rsidRPr="009514B6">
            <w:rPr>
              <w:rFonts w:cs="Arial"/>
              <w:bCs/>
            </w:rPr>
            <w:fldChar w:fldCharType="separate"/>
          </w:r>
          <w:hyperlink w:anchor="_Toc190767960" w:history="1">
            <w:r w:rsidR="009C11D2" w:rsidRPr="00802932">
              <w:rPr>
                <w:rStyle w:val="Hyperlink"/>
              </w:rPr>
              <w:t>Introduction</w:t>
            </w:r>
            <w:r w:rsidR="009C11D2">
              <w:rPr>
                <w:webHidden/>
              </w:rPr>
              <w:tab/>
            </w:r>
            <w:r w:rsidR="009C11D2">
              <w:rPr>
                <w:webHidden/>
              </w:rPr>
              <w:fldChar w:fldCharType="begin"/>
            </w:r>
            <w:r w:rsidR="009C11D2">
              <w:rPr>
                <w:webHidden/>
              </w:rPr>
              <w:instrText xml:space="preserve"> PAGEREF _Toc190767960 \h </w:instrText>
            </w:r>
            <w:r w:rsidR="009C11D2">
              <w:rPr>
                <w:webHidden/>
              </w:rPr>
            </w:r>
            <w:r w:rsidR="009C11D2">
              <w:rPr>
                <w:webHidden/>
              </w:rPr>
              <w:fldChar w:fldCharType="separate"/>
            </w:r>
            <w:r w:rsidR="009C11D2">
              <w:rPr>
                <w:webHidden/>
              </w:rPr>
              <w:t>3</w:t>
            </w:r>
            <w:r w:rsidR="009C11D2">
              <w:rPr>
                <w:webHidden/>
              </w:rPr>
              <w:fldChar w:fldCharType="end"/>
            </w:r>
          </w:hyperlink>
        </w:p>
        <w:p w14:paraId="42347155" w14:textId="1954DAE2"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1" w:history="1">
            <w:r w:rsidR="009C11D2" w:rsidRPr="00802932">
              <w:rPr>
                <w:rStyle w:val="Hyperlink"/>
                <w:noProof/>
              </w:rPr>
              <w:t>Overview of the Scheme</w:t>
            </w:r>
            <w:r w:rsidR="009C11D2">
              <w:rPr>
                <w:noProof/>
                <w:webHidden/>
              </w:rPr>
              <w:tab/>
            </w:r>
            <w:r w:rsidR="009C11D2">
              <w:rPr>
                <w:noProof/>
                <w:webHidden/>
              </w:rPr>
              <w:fldChar w:fldCharType="begin"/>
            </w:r>
            <w:r w:rsidR="009C11D2">
              <w:rPr>
                <w:noProof/>
                <w:webHidden/>
              </w:rPr>
              <w:instrText xml:space="preserve"> PAGEREF _Toc190767961 \h </w:instrText>
            </w:r>
            <w:r w:rsidR="009C11D2">
              <w:rPr>
                <w:noProof/>
                <w:webHidden/>
              </w:rPr>
            </w:r>
            <w:r w:rsidR="009C11D2">
              <w:rPr>
                <w:noProof/>
                <w:webHidden/>
              </w:rPr>
              <w:fldChar w:fldCharType="separate"/>
            </w:r>
            <w:r w:rsidR="009C11D2">
              <w:rPr>
                <w:noProof/>
                <w:webHidden/>
              </w:rPr>
              <w:t>3</w:t>
            </w:r>
            <w:r w:rsidR="009C11D2">
              <w:rPr>
                <w:noProof/>
                <w:webHidden/>
              </w:rPr>
              <w:fldChar w:fldCharType="end"/>
            </w:r>
          </w:hyperlink>
        </w:p>
        <w:p w14:paraId="70ECA1C4" w14:textId="7995CC4E"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2" w:history="1">
            <w:r w:rsidR="009C11D2" w:rsidRPr="00802932">
              <w:rPr>
                <w:rStyle w:val="Hyperlink"/>
                <w:noProof/>
              </w:rPr>
              <w:t>Eligibility for Cycle to Work Scheme</w:t>
            </w:r>
            <w:r w:rsidR="009C11D2">
              <w:rPr>
                <w:noProof/>
                <w:webHidden/>
              </w:rPr>
              <w:tab/>
            </w:r>
            <w:r w:rsidR="009C11D2">
              <w:rPr>
                <w:noProof/>
                <w:webHidden/>
              </w:rPr>
              <w:fldChar w:fldCharType="begin"/>
            </w:r>
            <w:r w:rsidR="009C11D2">
              <w:rPr>
                <w:noProof/>
                <w:webHidden/>
              </w:rPr>
              <w:instrText xml:space="preserve"> PAGEREF _Toc190767962 \h </w:instrText>
            </w:r>
            <w:r w:rsidR="009C11D2">
              <w:rPr>
                <w:noProof/>
                <w:webHidden/>
              </w:rPr>
            </w:r>
            <w:r w:rsidR="009C11D2">
              <w:rPr>
                <w:noProof/>
                <w:webHidden/>
              </w:rPr>
              <w:fldChar w:fldCharType="separate"/>
            </w:r>
            <w:r w:rsidR="009C11D2">
              <w:rPr>
                <w:noProof/>
                <w:webHidden/>
              </w:rPr>
              <w:t>3</w:t>
            </w:r>
            <w:r w:rsidR="009C11D2">
              <w:rPr>
                <w:noProof/>
                <w:webHidden/>
              </w:rPr>
              <w:fldChar w:fldCharType="end"/>
            </w:r>
          </w:hyperlink>
        </w:p>
        <w:p w14:paraId="4106DEE1" w14:textId="4EA0AF3A"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3" w:history="1">
            <w:r w:rsidR="009C11D2" w:rsidRPr="00802932">
              <w:rPr>
                <w:rStyle w:val="Hyperlink"/>
                <w:noProof/>
              </w:rPr>
              <w:t>Examples of non-qualifying items would include:</w:t>
            </w:r>
            <w:r w:rsidR="009C11D2">
              <w:rPr>
                <w:noProof/>
                <w:webHidden/>
              </w:rPr>
              <w:tab/>
            </w:r>
            <w:r w:rsidR="009C11D2">
              <w:rPr>
                <w:noProof/>
                <w:webHidden/>
              </w:rPr>
              <w:fldChar w:fldCharType="begin"/>
            </w:r>
            <w:r w:rsidR="009C11D2">
              <w:rPr>
                <w:noProof/>
                <w:webHidden/>
              </w:rPr>
              <w:instrText xml:space="preserve"> PAGEREF _Toc190767963 \h </w:instrText>
            </w:r>
            <w:r w:rsidR="009C11D2">
              <w:rPr>
                <w:noProof/>
                <w:webHidden/>
              </w:rPr>
            </w:r>
            <w:r w:rsidR="009C11D2">
              <w:rPr>
                <w:noProof/>
                <w:webHidden/>
              </w:rPr>
              <w:fldChar w:fldCharType="separate"/>
            </w:r>
            <w:r w:rsidR="009C11D2">
              <w:rPr>
                <w:noProof/>
                <w:webHidden/>
              </w:rPr>
              <w:t>4</w:t>
            </w:r>
            <w:r w:rsidR="009C11D2">
              <w:rPr>
                <w:noProof/>
                <w:webHidden/>
              </w:rPr>
              <w:fldChar w:fldCharType="end"/>
            </w:r>
          </w:hyperlink>
        </w:p>
        <w:p w14:paraId="3FA12F30" w14:textId="4FDE4DD4"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4" w:history="1">
            <w:r w:rsidR="009C11D2" w:rsidRPr="00802932">
              <w:rPr>
                <w:rStyle w:val="Hyperlink"/>
                <w:noProof/>
              </w:rPr>
              <w:t>Terms of the Cycle to Work Scheme</w:t>
            </w:r>
            <w:r w:rsidR="009C11D2">
              <w:rPr>
                <w:noProof/>
                <w:webHidden/>
              </w:rPr>
              <w:tab/>
            </w:r>
            <w:r w:rsidR="009C11D2">
              <w:rPr>
                <w:noProof/>
                <w:webHidden/>
              </w:rPr>
              <w:fldChar w:fldCharType="begin"/>
            </w:r>
            <w:r w:rsidR="009C11D2">
              <w:rPr>
                <w:noProof/>
                <w:webHidden/>
              </w:rPr>
              <w:instrText xml:space="preserve"> PAGEREF _Toc190767964 \h </w:instrText>
            </w:r>
            <w:r w:rsidR="009C11D2">
              <w:rPr>
                <w:noProof/>
                <w:webHidden/>
              </w:rPr>
            </w:r>
            <w:r w:rsidR="009C11D2">
              <w:rPr>
                <w:noProof/>
                <w:webHidden/>
              </w:rPr>
              <w:fldChar w:fldCharType="separate"/>
            </w:r>
            <w:r w:rsidR="009C11D2">
              <w:rPr>
                <w:noProof/>
                <w:webHidden/>
              </w:rPr>
              <w:t>4</w:t>
            </w:r>
            <w:r w:rsidR="009C11D2">
              <w:rPr>
                <w:noProof/>
                <w:webHidden/>
              </w:rPr>
              <w:fldChar w:fldCharType="end"/>
            </w:r>
          </w:hyperlink>
        </w:p>
        <w:p w14:paraId="259C08ED" w14:textId="6E9761DB"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5" w:history="1">
            <w:r w:rsidR="009C11D2" w:rsidRPr="00802932">
              <w:rPr>
                <w:rStyle w:val="Hyperlink"/>
                <w:noProof/>
              </w:rPr>
              <w:t>Joining the Cycle to Work Scheme</w:t>
            </w:r>
            <w:r w:rsidR="009C11D2">
              <w:rPr>
                <w:noProof/>
                <w:webHidden/>
              </w:rPr>
              <w:tab/>
            </w:r>
            <w:r w:rsidR="009C11D2">
              <w:rPr>
                <w:noProof/>
                <w:webHidden/>
              </w:rPr>
              <w:fldChar w:fldCharType="begin"/>
            </w:r>
            <w:r w:rsidR="009C11D2">
              <w:rPr>
                <w:noProof/>
                <w:webHidden/>
              </w:rPr>
              <w:instrText xml:space="preserve"> PAGEREF _Toc190767965 \h </w:instrText>
            </w:r>
            <w:r w:rsidR="009C11D2">
              <w:rPr>
                <w:noProof/>
                <w:webHidden/>
              </w:rPr>
            </w:r>
            <w:r w:rsidR="009C11D2">
              <w:rPr>
                <w:noProof/>
                <w:webHidden/>
              </w:rPr>
              <w:fldChar w:fldCharType="separate"/>
            </w:r>
            <w:r w:rsidR="009C11D2">
              <w:rPr>
                <w:noProof/>
                <w:webHidden/>
              </w:rPr>
              <w:t>5</w:t>
            </w:r>
            <w:r w:rsidR="009C11D2">
              <w:rPr>
                <w:noProof/>
                <w:webHidden/>
              </w:rPr>
              <w:fldChar w:fldCharType="end"/>
            </w:r>
          </w:hyperlink>
        </w:p>
        <w:p w14:paraId="6E0F2052" w14:textId="7B3A8CD1"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6" w:history="1">
            <w:r w:rsidR="009C11D2" w:rsidRPr="00802932">
              <w:rPr>
                <w:rStyle w:val="Hyperlink"/>
                <w:noProof/>
              </w:rPr>
              <w:t>Pension Impact</w:t>
            </w:r>
            <w:r w:rsidR="009C11D2">
              <w:rPr>
                <w:noProof/>
                <w:webHidden/>
              </w:rPr>
              <w:tab/>
            </w:r>
            <w:r w:rsidR="009C11D2">
              <w:rPr>
                <w:noProof/>
                <w:webHidden/>
              </w:rPr>
              <w:fldChar w:fldCharType="begin"/>
            </w:r>
            <w:r w:rsidR="009C11D2">
              <w:rPr>
                <w:noProof/>
                <w:webHidden/>
              </w:rPr>
              <w:instrText xml:space="preserve"> PAGEREF _Toc190767966 \h </w:instrText>
            </w:r>
            <w:r w:rsidR="009C11D2">
              <w:rPr>
                <w:noProof/>
                <w:webHidden/>
              </w:rPr>
            </w:r>
            <w:r w:rsidR="009C11D2">
              <w:rPr>
                <w:noProof/>
                <w:webHidden/>
              </w:rPr>
              <w:fldChar w:fldCharType="separate"/>
            </w:r>
            <w:r w:rsidR="009C11D2">
              <w:rPr>
                <w:noProof/>
                <w:webHidden/>
              </w:rPr>
              <w:t>5</w:t>
            </w:r>
            <w:r w:rsidR="009C11D2">
              <w:rPr>
                <w:noProof/>
                <w:webHidden/>
              </w:rPr>
              <w:fldChar w:fldCharType="end"/>
            </w:r>
          </w:hyperlink>
        </w:p>
        <w:p w14:paraId="5557DAC8" w14:textId="5190372F"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7" w:history="1">
            <w:r w:rsidR="009C11D2" w:rsidRPr="00802932">
              <w:rPr>
                <w:rStyle w:val="Hyperlink"/>
                <w:noProof/>
              </w:rPr>
              <w:t>Withdrawing from the Cycle to Work Scheme</w:t>
            </w:r>
            <w:r w:rsidR="009C11D2">
              <w:rPr>
                <w:noProof/>
                <w:webHidden/>
              </w:rPr>
              <w:tab/>
            </w:r>
            <w:r w:rsidR="009C11D2">
              <w:rPr>
                <w:noProof/>
                <w:webHidden/>
              </w:rPr>
              <w:fldChar w:fldCharType="begin"/>
            </w:r>
            <w:r w:rsidR="009C11D2">
              <w:rPr>
                <w:noProof/>
                <w:webHidden/>
              </w:rPr>
              <w:instrText xml:space="preserve"> PAGEREF _Toc190767967 \h </w:instrText>
            </w:r>
            <w:r w:rsidR="009C11D2">
              <w:rPr>
                <w:noProof/>
                <w:webHidden/>
              </w:rPr>
            </w:r>
            <w:r w:rsidR="009C11D2">
              <w:rPr>
                <w:noProof/>
                <w:webHidden/>
              </w:rPr>
              <w:fldChar w:fldCharType="separate"/>
            </w:r>
            <w:r w:rsidR="009C11D2">
              <w:rPr>
                <w:noProof/>
                <w:webHidden/>
              </w:rPr>
              <w:t>5</w:t>
            </w:r>
            <w:r w:rsidR="009C11D2">
              <w:rPr>
                <w:noProof/>
                <w:webHidden/>
              </w:rPr>
              <w:fldChar w:fldCharType="end"/>
            </w:r>
          </w:hyperlink>
        </w:p>
        <w:p w14:paraId="26710133" w14:textId="2CA3143C"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8" w:history="1">
            <w:r w:rsidR="009C11D2" w:rsidRPr="00802932">
              <w:rPr>
                <w:rStyle w:val="Hyperlink"/>
                <w:noProof/>
              </w:rPr>
              <w:t>Facilities</w:t>
            </w:r>
            <w:r w:rsidR="009C11D2">
              <w:rPr>
                <w:noProof/>
                <w:webHidden/>
              </w:rPr>
              <w:tab/>
            </w:r>
            <w:r w:rsidR="009C11D2">
              <w:rPr>
                <w:noProof/>
                <w:webHidden/>
              </w:rPr>
              <w:fldChar w:fldCharType="begin"/>
            </w:r>
            <w:r w:rsidR="009C11D2">
              <w:rPr>
                <w:noProof/>
                <w:webHidden/>
              </w:rPr>
              <w:instrText xml:space="preserve"> PAGEREF _Toc190767968 \h </w:instrText>
            </w:r>
            <w:r w:rsidR="009C11D2">
              <w:rPr>
                <w:noProof/>
                <w:webHidden/>
              </w:rPr>
            </w:r>
            <w:r w:rsidR="009C11D2">
              <w:rPr>
                <w:noProof/>
                <w:webHidden/>
              </w:rPr>
              <w:fldChar w:fldCharType="separate"/>
            </w:r>
            <w:r w:rsidR="009C11D2">
              <w:rPr>
                <w:noProof/>
                <w:webHidden/>
              </w:rPr>
              <w:t>5</w:t>
            </w:r>
            <w:r w:rsidR="009C11D2">
              <w:rPr>
                <w:noProof/>
                <w:webHidden/>
              </w:rPr>
              <w:fldChar w:fldCharType="end"/>
            </w:r>
          </w:hyperlink>
        </w:p>
        <w:p w14:paraId="5847D37F" w14:textId="4DA724D2" w:rsidR="009C11D2" w:rsidRDefault="00AD6A59">
          <w:pPr>
            <w:pStyle w:val="TOC3"/>
            <w:tabs>
              <w:tab w:val="right" w:leader="dot" w:pos="10194"/>
            </w:tabs>
            <w:rPr>
              <w:rFonts w:asciiTheme="minorHAnsi" w:eastAsiaTheme="minorEastAsia" w:hAnsiTheme="minorHAnsi" w:cstheme="minorBidi"/>
              <w:noProof/>
              <w:kern w:val="2"/>
              <w14:ligatures w14:val="standardContextual"/>
            </w:rPr>
          </w:pPr>
          <w:hyperlink w:anchor="_Toc190767969" w:history="1">
            <w:r w:rsidR="009C11D2" w:rsidRPr="00802932">
              <w:rPr>
                <w:rStyle w:val="Hyperlink"/>
                <w:noProof/>
              </w:rPr>
              <w:t>Key Contacts</w:t>
            </w:r>
            <w:r w:rsidR="009C11D2">
              <w:rPr>
                <w:noProof/>
                <w:webHidden/>
              </w:rPr>
              <w:tab/>
            </w:r>
            <w:r w:rsidR="009C11D2">
              <w:rPr>
                <w:noProof/>
                <w:webHidden/>
              </w:rPr>
              <w:fldChar w:fldCharType="begin"/>
            </w:r>
            <w:r w:rsidR="009C11D2">
              <w:rPr>
                <w:noProof/>
                <w:webHidden/>
              </w:rPr>
              <w:instrText xml:space="preserve"> PAGEREF _Toc190767969 \h </w:instrText>
            </w:r>
            <w:r w:rsidR="009C11D2">
              <w:rPr>
                <w:noProof/>
                <w:webHidden/>
              </w:rPr>
            </w:r>
            <w:r w:rsidR="009C11D2">
              <w:rPr>
                <w:noProof/>
                <w:webHidden/>
              </w:rPr>
              <w:fldChar w:fldCharType="separate"/>
            </w:r>
            <w:r w:rsidR="009C11D2">
              <w:rPr>
                <w:noProof/>
                <w:webHidden/>
              </w:rPr>
              <w:t>5</w:t>
            </w:r>
            <w:r w:rsidR="009C11D2">
              <w:rPr>
                <w:noProof/>
                <w:webHidden/>
              </w:rPr>
              <w:fldChar w:fldCharType="end"/>
            </w:r>
          </w:hyperlink>
        </w:p>
        <w:p w14:paraId="22520BBA" w14:textId="31C8DF29" w:rsidR="009514B6" w:rsidRDefault="009514B6">
          <w:r w:rsidRPr="009514B6">
            <w:rPr>
              <w:rFonts w:cs="Arial"/>
              <w:b/>
              <w:bCs/>
              <w:noProof/>
            </w:rPr>
            <w:fldChar w:fldCharType="end"/>
          </w:r>
        </w:p>
      </w:sdtContent>
    </w:sdt>
    <w:p w14:paraId="09176916" w14:textId="77777777" w:rsidR="009514B6" w:rsidRDefault="009514B6">
      <w:pPr>
        <w:spacing w:line="240" w:lineRule="auto"/>
      </w:pPr>
      <w:r>
        <w:br w:type="page"/>
      </w:r>
    </w:p>
    <w:p w14:paraId="13D1CD7D"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1EAB1584" w:rsidR="001E0E1F" w:rsidRPr="00B21687" w:rsidRDefault="00BC6402" w:rsidP="009514B6">
      <w:pPr>
        <w:pStyle w:val="Heading3"/>
      </w:pPr>
      <w:bookmarkStart w:id="6" w:name="_Toc190767960"/>
      <w:r w:rsidRPr="00BC6402">
        <w:t>Int</w:t>
      </w:r>
      <w:r>
        <w:t>roduction</w:t>
      </w:r>
      <w:bookmarkEnd w:id="6"/>
    </w:p>
    <w:p w14:paraId="2C1AED0B" w14:textId="2243E007" w:rsidR="00835F95" w:rsidRDefault="00BC6402" w:rsidP="004B7E82">
      <w:pPr>
        <w:spacing w:before="120" w:after="120" w:line="240" w:lineRule="auto"/>
        <w:contextualSpacing/>
        <w:jc w:val="both"/>
        <w:rPr>
          <w:rFonts w:cs="Arial"/>
          <w:bCs/>
          <w:color w:val="393938"/>
        </w:rPr>
      </w:pPr>
      <w:r>
        <w:rPr>
          <w:rFonts w:cs="Arial"/>
          <w:bCs/>
          <w:color w:val="393938"/>
        </w:rPr>
        <w:t>Cumbria Fire &amp; Rescue Service (CFRS)</w:t>
      </w:r>
      <w:r w:rsidRPr="00BC6402">
        <w:rPr>
          <w:rFonts w:cs="Arial"/>
          <w:bCs/>
          <w:color w:val="393938"/>
        </w:rPr>
        <w:t xml:space="preserve"> is committed to the health and wellbeing of </w:t>
      </w:r>
      <w:r>
        <w:rPr>
          <w:rFonts w:cs="Arial"/>
          <w:bCs/>
          <w:color w:val="393938"/>
        </w:rPr>
        <w:t>our</w:t>
      </w:r>
      <w:r w:rsidRPr="00BC6402">
        <w:rPr>
          <w:rFonts w:cs="Arial"/>
          <w:bCs/>
          <w:color w:val="393938"/>
        </w:rPr>
        <w:t xml:space="preserve"> employees and </w:t>
      </w:r>
      <w:r>
        <w:rPr>
          <w:rFonts w:cs="Arial"/>
          <w:bCs/>
          <w:color w:val="393938"/>
        </w:rPr>
        <w:t>encouraging sustainable modes of transport throughout Cumbria</w:t>
      </w:r>
      <w:r w:rsidRPr="00BC6402">
        <w:rPr>
          <w:rFonts w:cs="Arial"/>
          <w:bCs/>
          <w:color w:val="393938"/>
        </w:rPr>
        <w:t xml:space="preserve">. To this end, the Cycle to Work Scheme aims to address </w:t>
      </w:r>
      <w:proofErr w:type="gramStart"/>
      <w:r w:rsidRPr="00BC6402">
        <w:rPr>
          <w:rFonts w:cs="Arial"/>
          <w:bCs/>
          <w:color w:val="393938"/>
        </w:rPr>
        <w:t xml:space="preserve">both </w:t>
      </w:r>
      <w:r>
        <w:rPr>
          <w:rFonts w:cs="Arial"/>
          <w:bCs/>
          <w:color w:val="393938"/>
        </w:rPr>
        <w:t xml:space="preserve">of </w:t>
      </w:r>
      <w:r w:rsidRPr="00BC6402">
        <w:rPr>
          <w:rFonts w:cs="Arial"/>
          <w:bCs/>
          <w:color w:val="393938"/>
        </w:rPr>
        <w:t>these</w:t>
      </w:r>
      <w:proofErr w:type="gramEnd"/>
      <w:r w:rsidRPr="00BC6402">
        <w:rPr>
          <w:rFonts w:cs="Arial"/>
          <w:bCs/>
          <w:color w:val="393938"/>
        </w:rPr>
        <w:t xml:space="preserve"> </w:t>
      </w:r>
      <w:r>
        <w:rPr>
          <w:rFonts w:cs="Arial"/>
          <w:bCs/>
          <w:color w:val="393938"/>
        </w:rPr>
        <w:t>matters</w:t>
      </w:r>
      <w:r w:rsidRPr="00BC6402">
        <w:rPr>
          <w:rFonts w:cs="Arial"/>
          <w:bCs/>
          <w:color w:val="393938"/>
        </w:rPr>
        <w:t xml:space="preserve"> by providing a </w:t>
      </w:r>
      <w:r>
        <w:rPr>
          <w:rFonts w:cs="Arial"/>
          <w:bCs/>
          <w:color w:val="393938"/>
        </w:rPr>
        <w:t>system</w:t>
      </w:r>
      <w:r w:rsidRPr="00BC6402">
        <w:rPr>
          <w:rFonts w:cs="Arial"/>
          <w:bCs/>
          <w:color w:val="393938"/>
        </w:rPr>
        <w:t xml:space="preserve"> to promote healthier journeys to and from work whilst at the same time contributing to the reduction in environmental pollution.</w:t>
      </w:r>
    </w:p>
    <w:p w14:paraId="780BE5B7" w14:textId="77777777" w:rsidR="009514B6" w:rsidRDefault="009514B6" w:rsidP="004B7E82">
      <w:pPr>
        <w:spacing w:before="120" w:after="120" w:line="240" w:lineRule="auto"/>
        <w:contextualSpacing/>
        <w:jc w:val="both"/>
        <w:rPr>
          <w:rFonts w:cs="Arial"/>
          <w:bCs/>
          <w:color w:val="393938"/>
        </w:rPr>
      </w:pPr>
    </w:p>
    <w:p w14:paraId="6AD58202" w14:textId="231CEFC8" w:rsidR="00835F95" w:rsidRDefault="00916DF4" w:rsidP="004B7E82">
      <w:pPr>
        <w:pStyle w:val="Heading3"/>
        <w:spacing w:line="240" w:lineRule="auto"/>
        <w:contextualSpacing/>
        <w:jc w:val="both"/>
      </w:pPr>
      <w:bookmarkStart w:id="7" w:name="_Toc190767961"/>
      <w:r>
        <w:t>Overview of the Scheme</w:t>
      </w:r>
      <w:bookmarkEnd w:id="7"/>
    </w:p>
    <w:p w14:paraId="102AD72C" w14:textId="2ECCBFCC" w:rsidR="00916DF4" w:rsidRDefault="00916DF4" w:rsidP="004B7E82">
      <w:pPr>
        <w:spacing w:line="240" w:lineRule="auto"/>
        <w:contextualSpacing/>
        <w:jc w:val="both"/>
      </w:pPr>
      <w:r>
        <w:t xml:space="preserve">CFRS has partnered with Cyclescheme </w:t>
      </w:r>
      <w:r w:rsidR="008B1882">
        <w:t xml:space="preserve">(part of the Blackhawk Network </w:t>
      </w:r>
      <w:r w:rsidR="00A7739C">
        <w:t>–</w:t>
      </w:r>
      <w:r w:rsidR="008B1882">
        <w:t xml:space="preserve"> BHN</w:t>
      </w:r>
      <w:r w:rsidR="00A7739C">
        <w:t xml:space="preserve"> extras</w:t>
      </w:r>
      <w:r w:rsidR="008B1882">
        <w:t xml:space="preserve">) </w:t>
      </w:r>
      <w:r>
        <w:t xml:space="preserve">to be able to provide our employees with the benefit of the cycle to work scheme. Employees can apply to be part of the scheme using our </w:t>
      </w:r>
      <w:hyperlink r:id="rId11" w:history="1">
        <w:r w:rsidRPr="00916DF4">
          <w:rPr>
            <w:rStyle w:val="Hyperlink"/>
          </w:rPr>
          <w:t>Unique URL</w:t>
        </w:r>
      </w:hyperlink>
      <w:r>
        <w:t xml:space="preserve">. </w:t>
      </w:r>
    </w:p>
    <w:p w14:paraId="18FCF245" w14:textId="77777777" w:rsidR="00916DF4" w:rsidRDefault="00916DF4" w:rsidP="004B7E82">
      <w:pPr>
        <w:spacing w:line="240" w:lineRule="auto"/>
        <w:contextualSpacing/>
        <w:jc w:val="both"/>
      </w:pPr>
    </w:p>
    <w:p w14:paraId="5AD67A72" w14:textId="01F1B339" w:rsidR="00443F90" w:rsidRDefault="00443F90" w:rsidP="004B7E82">
      <w:pPr>
        <w:spacing w:line="240" w:lineRule="auto"/>
        <w:contextualSpacing/>
        <w:jc w:val="both"/>
      </w:pPr>
      <w:r>
        <w:t xml:space="preserve">The Cycle to Work Scheme operates </w:t>
      </w:r>
      <w:proofErr w:type="gramStart"/>
      <w:r>
        <w:t>on the basis of</w:t>
      </w:r>
      <w:proofErr w:type="gramEnd"/>
      <w:r>
        <w:t xml:space="preserve"> a salary sacrifice. The employee, in entering the scheme agrees a contract variation to accept a lower salary in exchange for CFRS providing the bicycle and/or equipment.</w:t>
      </w:r>
    </w:p>
    <w:p w14:paraId="26E2B3A8" w14:textId="77777777" w:rsidR="00443F90" w:rsidRDefault="00443F90" w:rsidP="004B7E82">
      <w:pPr>
        <w:spacing w:line="240" w:lineRule="auto"/>
        <w:contextualSpacing/>
        <w:jc w:val="both"/>
      </w:pPr>
    </w:p>
    <w:p w14:paraId="4BA48E9F" w14:textId="326A1DBD" w:rsidR="00916DF4" w:rsidRDefault="00916DF4" w:rsidP="004B7E82">
      <w:pPr>
        <w:spacing w:line="240" w:lineRule="auto"/>
        <w:contextualSpacing/>
        <w:jc w:val="both"/>
      </w:pPr>
      <w:r>
        <w:t xml:space="preserve">The Cycle to Work Scheme </w:t>
      </w:r>
      <w:r w:rsidR="00443F90">
        <w:t>falls within a specific HMRC exemption for bicycle schemes</w:t>
      </w:r>
      <w:r>
        <w:t xml:space="preserve"> which allows all CFRS employees to hire bicycles and</w:t>
      </w:r>
      <w:r w:rsidR="00742C0E">
        <w:t>/or</w:t>
      </w:r>
      <w:r>
        <w:t xml:space="preserve"> bicycle accessories such as helmets</w:t>
      </w:r>
      <w:r w:rsidR="009514B6">
        <w:t>, hi-vis</w:t>
      </w:r>
      <w:r>
        <w:t xml:space="preserve"> and other safety equipment</w:t>
      </w:r>
      <w:r w:rsidR="00BC2A04">
        <w:t>. The tax exemption relates to the tax charge which would usually apply to bicycles and equipment loaned to employees.</w:t>
      </w:r>
    </w:p>
    <w:p w14:paraId="71DEEE60" w14:textId="77777777" w:rsidR="00BC2A04" w:rsidRDefault="00BC2A04" w:rsidP="004B7E82">
      <w:pPr>
        <w:spacing w:line="240" w:lineRule="auto"/>
        <w:contextualSpacing/>
        <w:jc w:val="both"/>
      </w:pPr>
    </w:p>
    <w:p w14:paraId="784EA79D" w14:textId="77777777" w:rsidR="00BC2A04" w:rsidRDefault="00BC2A04" w:rsidP="004B7E82">
      <w:pPr>
        <w:spacing w:line="240" w:lineRule="auto"/>
        <w:contextualSpacing/>
        <w:jc w:val="both"/>
      </w:pPr>
      <w:r>
        <w:t>The tax exemption is dependent on the following conditions being met:</w:t>
      </w:r>
    </w:p>
    <w:p w14:paraId="141FA08D" w14:textId="77777777" w:rsidR="00BC2A04" w:rsidRDefault="00BC2A04" w:rsidP="004B7E82">
      <w:pPr>
        <w:spacing w:line="240" w:lineRule="auto"/>
        <w:contextualSpacing/>
        <w:jc w:val="both"/>
      </w:pPr>
    </w:p>
    <w:p w14:paraId="7C81299E" w14:textId="5C5EEAB5" w:rsidR="00BC2A04" w:rsidRDefault="00BC2A04" w:rsidP="004B7E82">
      <w:pPr>
        <w:pStyle w:val="ListParagraph"/>
        <w:numPr>
          <w:ilvl w:val="0"/>
          <w:numId w:val="35"/>
        </w:numPr>
        <w:spacing w:line="240" w:lineRule="auto"/>
        <w:jc w:val="both"/>
      </w:pPr>
      <w:r>
        <w:t>the equipment hired must be a bicycle, bicycle related safety equipment or both</w:t>
      </w:r>
      <w:r w:rsidR="009514B6">
        <w:t>.</w:t>
      </w:r>
    </w:p>
    <w:p w14:paraId="302AD1B3" w14:textId="77777777" w:rsidR="00491A92" w:rsidRDefault="00BC2A04" w:rsidP="00491A92">
      <w:pPr>
        <w:pStyle w:val="ListParagraph"/>
        <w:numPr>
          <w:ilvl w:val="0"/>
          <w:numId w:val="35"/>
        </w:numPr>
      </w:pPr>
      <w:r>
        <w:t>the employee must use the equipment mainly for commuting, although you are entitled to use it for other purposes as well.</w:t>
      </w:r>
      <w:r w:rsidR="00491A92" w:rsidRPr="00491A92">
        <w:t xml:space="preserve"> </w:t>
      </w:r>
    </w:p>
    <w:p w14:paraId="36E43B44" w14:textId="77777777" w:rsidR="009514B6" w:rsidRDefault="009514B6" w:rsidP="004B7E82">
      <w:pPr>
        <w:spacing w:line="240" w:lineRule="auto"/>
        <w:contextualSpacing/>
        <w:jc w:val="both"/>
      </w:pPr>
    </w:p>
    <w:p w14:paraId="38C69486" w14:textId="0CD0CB1E" w:rsidR="00B816B1" w:rsidRPr="00B816B1" w:rsidRDefault="00B816B1" w:rsidP="004B7E82">
      <w:pPr>
        <w:pStyle w:val="Heading3"/>
        <w:spacing w:line="240" w:lineRule="auto"/>
        <w:contextualSpacing/>
        <w:jc w:val="both"/>
      </w:pPr>
      <w:bookmarkStart w:id="8" w:name="_Toc190767962"/>
      <w:r>
        <w:t>Eligibility for Cycle to Work Scheme</w:t>
      </w:r>
      <w:bookmarkEnd w:id="8"/>
    </w:p>
    <w:p w14:paraId="59693C63" w14:textId="77777777" w:rsidR="00B816B1" w:rsidRPr="00B816B1" w:rsidRDefault="00B816B1" w:rsidP="004B7E82">
      <w:pPr>
        <w:spacing w:before="120" w:after="120" w:line="240" w:lineRule="auto"/>
        <w:contextualSpacing/>
        <w:jc w:val="both"/>
        <w:rPr>
          <w:rFonts w:cs="Arial"/>
          <w:bCs/>
          <w:color w:val="393938"/>
        </w:rPr>
      </w:pPr>
      <w:r w:rsidRPr="00B816B1">
        <w:rPr>
          <w:rFonts w:cs="Arial"/>
          <w:bCs/>
          <w:color w:val="393938"/>
        </w:rPr>
        <w:t>To participate in the Cycle to Work Scheme the following conditions must be met:</w:t>
      </w:r>
    </w:p>
    <w:p w14:paraId="353E82C6" w14:textId="7B66F471" w:rsidR="00B816B1" w:rsidRPr="00B816B1" w:rsidRDefault="00B816B1" w:rsidP="004B7E82">
      <w:pPr>
        <w:pStyle w:val="ListParagraph"/>
        <w:numPr>
          <w:ilvl w:val="0"/>
          <w:numId w:val="36"/>
        </w:numPr>
        <w:spacing w:before="120" w:after="120" w:line="240" w:lineRule="auto"/>
        <w:jc w:val="both"/>
        <w:rPr>
          <w:rFonts w:cs="Arial"/>
          <w:bCs/>
          <w:color w:val="393938"/>
        </w:rPr>
      </w:pPr>
      <w:r w:rsidRPr="00B816B1">
        <w:rPr>
          <w:rFonts w:cs="Arial"/>
          <w:bCs/>
          <w:color w:val="393938"/>
        </w:rPr>
        <w:t xml:space="preserve">the employee is a UK </w:t>
      </w:r>
      <w:proofErr w:type="gramStart"/>
      <w:r w:rsidRPr="00B816B1">
        <w:rPr>
          <w:rFonts w:cs="Arial"/>
          <w:bCs/>
          <w:color w:val="393938"/>
        </w:rPr>
        <w:t>tax payer</w:t>
      </w:r>
      <w:proofErr w:type="gramEnd"/>
      <w:r w:rsidRPr="00B816B1">
        <w:rPr>
          <w:rFonts w:cs="Arial"/>
          <w:bCs/>
          <w:color w:val="393938"/>
        </w:rPr>
        <w:t xml:space="preserve"> via the PAYE system</w:t>
      </w:r>
    </w:p>
    <w:p w14:paraId="39914F73" w14:textId="7D88BE20" w:rsidR="00B816B1" w:rsidRPr="00B816B1" w:rsidRDefault="00B816B1" w:rsidP="004B7E82">
      <w:pPr>
        <w:pStyle w:val="ListParagraph"/>
        <w:numPr>
          <w:ilvl w:val="0"/>
          <w:numId w:val="36"/>
        </w:numPr>
        <w:spacing w:before="120" w:after="120" w:line="240" w:lineRule="auto"/>
        <w:jc w:val="both"/>
        <w:rPr>
          <w:rFonts w:cs="Arial"/>
          <w:bCs/>
          <w:color w:val="393938"/>
        </w:rPr>
      </w:pPr>
      <w:r w:rsidRPr="00B816B1">
        <w:rPr>
          <w:rFonts w:cs="Arial"/>
          <w:bCs/>
          <w:color w:val="393938"/>
        </w:rPr>
        <w:t>following the salary sacrifice being applied, the employee’s gross pay does not reduce below the National Minimum Wage (NMW)</w:t>
      </w:r>
    </w:p>
    <w:p w14:paraId="55558131" w14:textId="4B37B878" w:rsidR="00B816B1" w:rsidRPr="00B816B1" w:rsidRDefault="00B816B1" w:rsidP="004B7E82">
      <w:pPr>
        <w:pStyle w:val="ListParagraph"/>
        <w:numPr>
          <w:ilvl w:val="0"/>
          <w:numId w:val="36"/>
        </w:numPr>
        <w:spacing w:before="120" w:after="120" w:line="240" w:lineRule="auto"/>
        <w:jc w:val="both"/>
        <w:rPr>
          <w:rFonts w:cs="Arial"/>
          <w:bCs/>
          <w:color w:val="393938"/>
        </w:rPr>
      </w:pPr>
      <w:r w:rsidRPr="00B816B1">
        <w:rPr>
          <w:rFonts w:cs="Arial"/>
          <w:bCs/>
          <w:color w:val="393938"/>
        </w:rPr>
        <w:t xml:space="preserve">the employee </w:t>
      </w:r>
      <w:r w:rsidR="00443F90">
        <w:rPr>
          <w:rFonts w:cs="Arial"/>
          <w:bCs/>
          <w:color w:val="393938"/>
        </w:rPr>
        <w:t xml:space="preserve">(at the time of application) </w:t>
      </w:r>
      <w:r w:rsidRPr="00B816B1">
        <w:rPr>
          <w:rFonts w:cs="Arial"/>
          <w:bCs/>
          <w:color w:val="393938"/>
        </w:rPr>
        <w:t xml:space="preserve">has a contract of employment which </w:t>
      </w:r>
      <w:r w:rsidR="00742C0E">
        <w:rPr>
          <w:rFonts w:cs="Arial"/>
          <w:bCs/>
          <w:color w:val="393938"/>
        </w:rPr>
        <w:t xml:space="preserve">is expected to </w:t>
      </w:r>
      <w:r w:rsidRPr="00B816B1">
        <w:rPr>
          <w:rFonts w:cs="Arial"/>
          <w:bCs/>
          <w:color w:val="393938"/>
        </w:rPr>
        <w:t xml:space="preserve">outlast the duration of the </w:t>
      </w:r>
      <w:r w:rsidR="00491A92" w:rsidRPr="00491A92">
        <w:rPr>
          <w:rFonts w:cs="Arial"/>
          <w:bCs/>
          <w:color w:val="393938"/>
        </w:rPr>
        <w:t xml:space="preserve">twelve-month </w:t>
      </w:r>
      <w:r w:rsidRPr="00B816B1">
        <w:rPr>
          <w:rFonts w:cs="Arial"/>
          <w:bCs/>
          <w:color w:val="393938"/>
        </w:rPr>
        <w:t>salary sacrifice period</w:t>
      </w:r>
    </w:p>
    <w:p w14:paraId="4C4A2904" w14:textId="3DCC7F03" w:rsidR="00B816B1" w:rsidRPr="00B816B1" w:rsidRDefault="00B816B1" w:rsidP="004B7E82">
      <w:pPr>
        <w:pStyle w:val="ListParagraph"/>
        <w:numPr>
          <w:ilvl w:val="0"/>
          <w:numId w:val="36"/>
        </w:numPr>
        <w:spacing w:before="120" w:after="120" w:line="240" w:lineRule="auto"/>
        <w:jc w:val="both"/>
        <w:rPr>
          <w:rFonts w:cs="Arial"/>
          <w:bCs/>
          <w:color w:val="393938"/>
        </w:rPr>
      </w:pPr>
      <w:r w:rsidRPr="00B816B1">
        <w:rPr>
          <w:rFonts w:cs="Arial"/>
          <w:bCs/>
          <w:color w:val="393938"/>
        </w:rPr>
        <w:t>the employee is aged 18 years or over</w:t>
      </w:r>
    </w:p>
    <w:p w14:paraId="1A7373F7" w14:textId="77777777" w:rsidR="00B816B1" w:rsidRDefault="00B816B1" w:rsidP="004B7E82">
      <w:pPr>
        <w:pStyle w:val="ListParagraph"/>
        <w:numPr>
          <w:ilvl w:val="0"/>
          <w:numId w:val="36"/>
        </w:numPr>
        <w:spacing w:before="120" w:after="120" w:line="240" w:lineRule="auto"/>
        <w:jc w:val="both"/>
        <w:rPr>
          <w:rFonts w:cs="Arial"/>
          <w:bCs/>
          <w:color w:val="393938"/>
        </w:rPr>
      </w:pPr>
      <w:r w:rsidRPr="00B816B1">
        <w:rPr>
          <w:rFonts w:cs="Arial"/>
          <w:bCs/>
          <w:color w:val="393938"/>
        </w:rPr>
        <w:t>the equipment must be used mainly for qualifying journeys i.e. journeys (in whole or in part)</w:t>
      </w:r>
      <w:r>
        <w:rPr>
          <w:rFonts w:cs="Arial"/>
          <w:bCs/>
          <w:color w:val="393938"/>
        </w:rPr>
        <w:t xml:space="preserve"> </w:t>
      </w:r>
      <w:r w:rsidRPr="00B816B1">
        <w:rPr>
          <w:rFonts w:cs="Arial"/>
          <w:bCs/>
          <w:color w:val="393938"/>
        </w:rPr>
        <w:t>between home and work or journeys between workplaces</w:t>
      </w:r>
      <w:r>
        <w:rPr>
          <w:rFonts w:cs="Arial"/>
          <w:bCs/>
          <w:color w:val="393938"/>
        </w:rPr>
        <w:t xml:space="preserve">. </w:t>
      </w:r>
    </w:p>
    <w:p w14:paraId="7E22B22F" w14:textId="77777777" w:rsidR="00442C9A" w:rsidRDefault="00442C9A" w:rsidP="004B7E82">
      <w:pPr>
        <w:spacing w:before="120" w:after="120" w:line="240" w:lineRule="auto"/>
        <w:contextualSpacing/>
        <w:jc w:val="both"/>
        <w:rPr>
          <w:rFonts w:cs="Arial"/>
          <w:bCs/>
          <w:color w:val="393938"/>
        </w:rPr>
      </w:pPr>
    </w:p>
    <w:p w14:paraId="1014AA8C" w14:textId="7A83E86C" w:rsidR="00742C0E" w:rsidRPr="00B816B1" w:rsidRDefault="00B816B1" w:rsidP="004B7E82">
      <w:pPr>
        <w:spacing w:before="120" w:after="120" w:line="240" w:lineRule="auto"/>
        <w:contextualSpacing/>
        <w:jc w:val="both"/>
        <w:rPr>
          <w:rFonts w:cs="Arial"/>
          <w:bCs/>
          <w:color w:val="393938"/>
        </w:rPr>
      </w:pPr>
      <w:proofErr w:type="gramStart"/>
      <w:r w:rsidRPr="00B816B1">
        <w:rPr>
          <w:rFonts w:cs="Arial"/>
          <w:bCs/>
          <w:color w:val="393938"/>
        </w:rPr>
        <w:t>In order to</w:t>
      </w:r>
      <w:proofErr w:type="gramEnd"/>
      <w:r w:rsidRPr="00B816B1">
        <w:rPr>
          <w:rFonts w:cs="Arial"/>
          <w:bCs/>
          <w:color w:val="393938"/>
        </w:rPr>
        <w:t xml:space="preserve"> qualify for the Cycle to Work Scheme you are required to hire a bike </w:t>
      </w:r>
      <w:r w:rsidR="008B1882">
        <w:rPr>
          <w:rFonts w:cs="Arial"/>
          <w:bCs/>
          <w:color w:val="393938"/>
        </w:rPr>
        <w:t>and</w:t>
      </w:r>
      <w:r w:rsidR="00DB7D02">
        <w:rPr>
          <w:rFonts w:cs="Arial"/>
          <w:bCs/>
          <w:color w:val="393938"/>
        </w:rPr>
        <w:t>/or</w:t>
      </w:r>
      <w:r w:rsidRPr="00B816B1">
        <w:rPr>
          <w:rFonts w:cs="Arial"/>
          <w:bCs/>
          <w:color w:val="393938"/>
        </w:rPr>
        <w:t xml:space="preserve"> cycle safety</w:t>
      </w:r>
      <w:r w:rsidR="00742C0E">
        <w:rPr>
          <w:rFonts w:cs="Arial"/>
          <w:bCs/>
          <w:color w:val="393938"/>
        </w:rPr>
        <w:t xml:space="preserve"> </w:t>
      </w:r>
      <w:r w:rsidR="00DB7D02">
        <w:rPr>
          <w:rFonts w:cs="Arial"/>
          <w:bCs/>
          <w:color w:val="393938"/>
        </w:rPr>
        <w:t>equipment. Qualifying safety equipment may include:</w:t>
      </w:r>
    </w:p>
    <w:p w14:paraId="52B2CC80" w14:textId="141A9F7A"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Helmets</w:t>
      </w:r>
    </w:p>
    <w:p w14:paraId="305C2BAF" w14:textId="3E84C1FA"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Bells and horns</w:t>
      </w:r>
    </w:p>
    <w:p w14:paraId="60A26E62" w14:textId="77777777"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Lights</w:t>
      </w:r>
    </w:p>
    <w:p w14:paraId="5BDED977" w14:textId="52719BD6"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lastRenderedPageBreak/>
        <w:t>Mirrors and mudguards to ensure riders’ visibility is not impaired</w:t>
      </w:r>
    </w:p>
    <w:p w14:paraId="0F499D2C" w14:textId="6895CE28"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Cycle clips and dress guards</w:t>
      </w:r>
    </w:p>
    <w:p w14:paraId="161F6CE4" w14:textId="2802A9CE"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Panniers, luggage carriers and straps to allow luggage to be safely carried</w:t>
      </w:r>
    </w:p>
    <w:p w14:paraId="4EA11A61" w14:textId="69E1C4D1"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Locks and chains to ensure cycle can be safely secured</w:t>
      </w:r>
    </w:p>
    <w:p w14:paraId="157DD3E2" w14:textId="19C477DF" w:rsidR="00B816B1" w:rsidRPr="00B816B1" w:rsidRDefault="00B816B1" w:rsidP="004B7E82">
      <w:pPr>
        <w:pStyle w:val="ListParagraph"/>
        <w:numPr>
          <w:ilvl w:val="0"/>
          <w:numId w:val="37"/>
        </w:numPr>
        <w:spacing w:before="120" w:after="120" w:line="240" w:lineRule="auto"/>
        <w:jc w:val="both"/>
        <w:rPr>
          <w:rFonts w:cs="Arial"/>
          <w:bCs/>
          <w:color w:val="393938"/>
        </w:rPr>
      </w:pPr>
      <w:r w:rsidRPr="00B816B1">
        <w:rPr>
          <w:rFonts w:cs="Arial"/>
          <w:bCs/>
          <w:color w:val="393938"/>
        </w:rPr>
        <w:t>Pumps, puncture repair kits, cycle tool kits and tyre sealant to allow for minor repairs</w:t>
      </w:r>
    </w:p>
    <w:p w14:paraId="45BBD250" w14:textId="2E8178A2" w:rsidR="00DB7D02" w:rsidRPr="000C2204" w:rsidRDefault="00B816B1" w:rsidP="00DB7D02">
      <w:pPr>
        <w:pStyle w:val="ListParagraph"/>
        <w:numPr>
          <w:ilvl w:val="0"/>
          <w:numId w:val="37"/>
        </w:numPr>
        <w:spacing w:before="120" w:after="120" w:line="240" w:lineRule="auto"/>
        <w:jc w:val="both"/>
        <w:rPr>
          <w:rFonts w:cs="Arial"/>
          <w:bCs/>
          <w:color w:val="393938"/>
        </w:rPr>
      </w:pPr>
      <w:r w:rsidRPr="00B816B1">
        <w:rPr>
          <w:rFonts w:cs="Arial"/>
          <w:bCs/>
          <w:color w:val="393938"/>
        </w:rPr>
        <w:t>Reflective clothing</w:t>
      </w:r>
    </w:p>
    <w:p w14:paraId="44B3FA47" w14:textId="058331ED" w:rsidR="00491A92" w:rsidRDefault="00DB7D02" w:rsidP="004B7E82">
      <w:pPr>
        <w:pStyle w:val="Heading3"/>
        <w:spacing w:line="240" w:lineRule="auto"/>
        <w:contextualSpacing/>
        <w:jc w:val="both"/>
        <w:rPr>
          <w:rFonts w:ascii="Arial" w:hAnsi="Arial"/>
          <w:b w:val="0"/>
          <w:color w:val="393938"/>
          <w:sz w:val="24"/>
          <w:szCs w:val="24"/>
          <w:u w:val="single"/>
        </w:rPr>
      </w:pPr>
      <w:bookmarkStart w:id="9" w:name="_Toc190767963"/>
      <w:r w:rsidRPr="000C2204">
        <w:rPr>
          <w:rFonts w:ascii="Arial" w:hAnsi="Arial"/>
          <w:b w:val="0"/>
          <w:color w:val="393938"/>
          <w:sz w:val="24"/>
          <w:szCs w:val="24"/>
          <w:u w:val="single"/>
        </w:rPr>
        <w:t xml:space="preserve">Examples of </w:t>
      </w:r>
      <w:r>
        <w:rPr>
          <w:rFonts w:ascii="Arial" w:hAnsi="Arial"/>
          <w:b w:val="0"/>
          <w:color w:val="393938"/>
          <w:sz w:val="24"/>
          <w:szCs w:val="24"/>
          <w:u w:val="single"/>
        </w:rPr>
        <w:t>non-qualifying items would include:</w:t>
      </w:r>
      <w:bookmarkEnd w:id="9"/>
    </w:p>
    <w:p w14:paraId="430D3488" w14:textId="6F50C865" w:rsidR="00DB7D02" w:rsidRDefault="00DB7D02" w:rsidP="00DB7D02">
      <w:pPr>
        <w:pStyle w:val="ListParagraph"/>
        <w:numPr>
          <w:ilvl w:val="0"/>
          <w:numId w:val="39"/>
        </w:numPr>
      </w:pPr>
      <w:r>
        <w:t>Cycle computers</w:t>
      </w:r>
    </w:p>
    <w:p w14:paraId="42405FF1" w14:textId="30D8D382" w:rsidR="00DB7D02" w:rsidRDefault="00DB7D02" w:rsidP="00DB7D02">
      <w:pPr>
        <w:pStyle w:val="ListParagraph"/>
        <w:numPr>
          <w:ilvl w:val="0"/>
          <w:numId w:val="39"/>
        </w:numPr>
      </w:pPr>
      <w:r>
        <w:t>Waterproof clothing that is not reflective</w:t>
      </w:r>
    </w:p>
    <w:p w14:paraId="41D1B871" w14:textId="0B5BF10E" w:rsidR="00DB7D02" w:rsidRPr="00DB7D02" w:rsidRDefault="00DB7D02" w:rsidP="000C2204">
      <w:pPr>
        <w:pStyle w:val="ListParagraph"/>
        <w:numPr>
          <w:ilvl w:val="0"/>
          <w:numId w:val="39"/>
        </w:numPr>
      </w:pPr>
      <w:r>
        <w:t xml:space="preserve">Cycle training </w:t>
      </w:r>
    </w:p>
    <w:p w14:paraId="71AAF514" w14:textId="77777777" w:rsidR="00DB7D02" w:rsidRPr="00DB7D02" w:rsidRDefault="00DB7D02" w:rsidP="000C2204"/>
    <w:p w14:paraId="514CC9EE" w14:textId="0321D9FA" w:rsidR="001503BC" w:rsidRDefault="001503BC" w:rsidP="004B7E82">
      <w:pPr>
        <w:pStyle w:val="Heading3"/>
        <w:spacing w:line="240" w:lineRule="auto"/>
        <w:contextualSpacing/>
        <w:jc w:val="both"/>
      </w:pPr>
      <w:bookmarkStart w:id="10" w:name="_Toc190767964"/>
      <w:r>
        <w:t>Terms of the Cycle to Work Scheme</w:t>
      </w:r>
      <w:bookmarkEnd w:id="10"/>
    </w:p>
    <w:p w14:paraId="0DD6794E" w14:textId="479540F3" w:rsidR="001503BC" w:rsidRDefault="001503BC" w:rsidP="004B7E82">
      <w:pPr>
        <w:spacing w:line="240" w:lineRule="auto"/>
        <w:contextualSpacing/>
        <w:jc w:val="both"/>
      </w:pPr>
      <w:r>
        <w:t>Employees who sign up to the Cycle to Work Scheme are agreeing to temporarily vary their terms and conditions of employment due to the deduction to the gross contractual salary by the value of the bicycle and/or equipment.</w:t>
      </w:r>
    </w:p>
    <w:p w14:paraId="11F9F296" w14:textId="1001ED7B" w:rsidR="001503BC" w:rsidRDefault="001503BC" w:rsidP="004B7E82">
      <w:pPr>
        <w:spacing w:line="240" w:lineRule="auto"/>
        <w:contextualSpacing/>
        <w:jc w:val="both"/>
      </w:pPr>
    </w:p>
    <w:p w14:paraId="68B03A1C" w14:textId="50565663" w:rsidR="001503BC" w:rsidRDefault="001503BC" w:rsidP="004B7E82">
      <w:pPr>
        <w:spacing w:line="240" w:lineRule="auto"/>
        <w:contextualSpacing/>
        <w:jc w:val="both"/>
      </w:pPr>
      <w:r>
        <w:t xml:space="preserve">The agreement </w:t>
      </w:r>
      <w:proofErr w:type="gramStart"/>
      <w:r>
        <w:t>entered into</w:t>
      </w:r>
      <w:proofErr w:type="gramEnd"/>
      <w:r>
        <w:t xml:space="preserve"> is regulated by the Consumer Credit Act 1974.</w:t>
      </w:r>
    </w:p>
    <w:p w14:paraId="3DA6F329" w14:textId="77777777" w:rsidR="00442C9A" w:rsidRDefault="00442C9A" w:rsidP="004B7E82">
      <w:pPr>
        <w:spacing w:line="240" w:lineRule="auto"/>
        <w:contextualSpacing/>
        <w:jc w:val="both"/>
      </w:pPr>
    </w:p>
    <w:p w14:paraId="4D16EC4E" w14:textId="62072FA3" w:rsidR="00442C9A" w:rsidRDefault="00442C9A" w:rsidP="004B7E82">
      <w:pPr>
        <w:spacing w:before="120" w:after="120" w:line="240" w:lineRule="auto"/>
        <w:contextualSpacing/>
        <w:jc w:val="both"/>
        <w:rPr>
          <w:rFonts w:cs="Arial"/>
          <w:bCs/>
          <w:color w:val="393938"/>
        </w:rPr>
      </w:pPr>
      <w:r w:rsidRPr="00442C9A">
        <w:rPr>
          <w:rFonts w:cs="Arial"/>
          <w:bCs/>
          <w:color w:val="393938"/>
        </w:rPr>
        <w:t xml:space="preserve">The maximum </w:t>
      </w:r>
      <w:proofErr w:type="gramStart"/>
      <w:r w:rsidRPr="00442C9A">
        <w:rPr>
          <w:rFonts w:cs="Arial"/>
          <w:bCs/>
          <w:color w:val="393938"/>
        </w:rPr>
        <w:t>spend</w:t>
      </w:r>
      <w:proofErr w:type="gramEnd"/>
      <w:r w:rsidRPr="00442C9A">
        <w:rPr>
          <w:rFonts w:cs="Arial"/>
          <w:bCs/>
          <w:color w:val="393938"/>
        </w:rPr>
        <w:t xml:space="preserve"> for </w:t>
      </w:r>
      <w:r>
        <w:rPr>
          <w:rFonts w:cs="Arial"/>
          <w:bCs/>
          <w:color w:val="393938"/>
        </w:rPr>
        <w:t>items hired under the Cycle to Work Scheme</w:t>
      </w:r>
      <w:r w:rsidRPr="00442C9A">
        <w:rPr>
          <w:rFonts w:cs="Arial"/>
          <w:bCs/>
          <w:color w:val="393938"/>
        </w:rPr>
        <w:t xml:space="preserve"> is</w:t>
      </w:r>
      <w:r>
        <w:rPr>
          <w:rFonts w:cs="Arial"/>
          <w:bCs/>
          <w:color w:val="393938"/>
        </w:rPr>
        <w:t xml:space="preserve"> </w:t>
      </w:r>
      <w:r w:rsidRPr="00442C9A">
        <w:rPr>
          <w:rFonts w:cs="Arial"/>
          <w:bCs/>
          <w:color w:val="393938"/>
        </w:rPr>
        <w:t>£</w:t>
      </w:r>
      <w:r>
        <w:rPr>
          <w:rFonts w:cs="Arial"/>
          <w:bCs/>
          <w:color w:val="393938"/>
        </w:rPr>
        <w:t>5</w:t>
      </w:r>
      <w:r w:rsidRPr="00442C9A">
        <w:rPr>
          <w:rFonts w:cs="Arial"/>
          <w:bCs/>
          <w:color w:val="393938"/>
        </w:rPr>
        <w:t xml:space="preserve">,000 (inclusive of VAT). The hire agreement lasts for a period of </w:t>
      </w:r>
      <w:r w:rsidRPr="00442C9A">
        <w:rPr>
          <w:rFonts w:cs="Arial"/>
          <w:b/>
          <w:color w:val="393938"/>
        </w:rPr>
        <w:t>twelve months</w:t>
      </w:r>
      <w:r>
        <w:rPr>
          <w:rFonts w:cs="Arial"/>
          <w:bCs/>
          <w:color w:val="393938"/>
        </w:rPr>
        <w:t xml:space="preserve"> (this cannot be extended)</w:t>
      </w:r>
      <w:r w:rsidRPr="00442C9A">
        <w:rPr>
          <w:rFonts w:cs="Arial"/>
          <w:bCs/>
          <w:color w:val="393938"/>
        </w:rPr>
        <w:t xml:space="preserve"> and payments will be made via a salary sacrifice arrangement commencing at the next available pay date following the purchase which </w:t>
      </w:r>
      <w:r>
        <w:rPr>
          <w:rFonts w:cs="Arial"/>
          <w:bCs/>
          <w:color w:val="393938"/>
        </w:rPr>
        <w:t>CFRS</w:t>
      </w:r>
      <w:r w:rsidRPr="00442C9A">
        <w:rPr>
          <w:rFonts w:cs="Arial"/>
          <w:bCs/>
          <w:color w:val="393938"/>
        </w:rPr>
        <w:t xml:space="preserve"> agrees to hire to the employee.</w:t>
      </w:r>
    </w:p>
    <w:p w14:paraId="30365D40" w14:textId="77777777" w:rsidR="00442C9A" w:rsidRPr="00442C9A" w:rsidRDefault="00442C9A" w:rsidP="004B7E82">
      <w:pPr>
        <w:spacing w:before="120" w:after="120" w:line="240" w:lineRule="auto"/>
        <w:contextualSpacing/>
        <w:jc w:val="both"/>
        <w:rPr>
          <w:rFonts w:cs="Arial"/>
          <w:bCs/>
          <w:color w:val="393938"/>
        </w:rPr>
      </w:pPr>
    </w:p>
    <w:p w14:paraId="097C1AAE" w14:textId="5E2FF7DF" w:rsidR="00835F95" w:rsidRDefault="00442C9A" w:rsidP="004B7E82">
      <w:pPr>
        <w:spacing w:before="120" w:after="120" w:line="240" w:lineRule="auto"/>
        <w:contextualSpacing/>
        <w:jc w:val="both"/>
        <w:rPr>
          <w:rFonts w:cs="Arial"/>
          <w:bCs/>
          <w:color w:val="393938"/>
        </w:rPr>
      </w:pPr>
      <w:r w:rsidRPr="00442C9A">
        <w:rPr>
          <w:rFonts w:cs="Arial"/>
          <w:bCs/>
          <w:color w:val="393938"/>
        </w:rPr>
        <w:t xml:space="preserve">The </w:t>
      </w:r>
      <w:r>
        <w:rPr>
          <w:rFonts w:cs="Arial"/>
          <w:bCs/>
          <w:color w:val="393938"/>
        </w:rPr>
        <w:t>item(s)</w:t>
      </w:r>
      <w:r w:rsidRPr="00442C9A">
        <w:rPr>
          <w:rFonts w:cs="Arial"/>
          <w:bCs/>
          <w:color w:val="393938"/>
        </w:rPr>
        <w:t xml:space="preserve"> hired under the scheme </w:t>
      </w:r>
      <w:r>
        <w:rPr>
          <w:rFonts w:cs="Arial"/>
          <w:bCs/>
          <w:color w:val="393938"/>
        </w:rPr>
        <w:t xml:space="preserve">shall </w:t>
      </w:r>
      <w:r w:rsidRPr="00442C9A">
        <w:rPr>
          <w:rFonts w:cs="Arial"/>
          <w:bCs/>
          <w:color w:val="393938"/>
        </w:rPr>
        <w:t xml:space="preserve">remain the property of </w:t>
      </w:r>
      <w:r w:rsidR="009E65DB">
        <w:rPr>
          <w:rFonts w:cs="Arial"/>
          <w:bCs/>
          <w:color w:val="393938"/>
        </w:rPr>
        <w:t xml:space="preserve">Cyclescheme </w:t>
      </w:r>
      <w:r w:rsidRPr="00442C9A">
        <w:rPr>
          <w:rFonts w:cs="Arial"/>
          <w:bCs/>
          <w:color w:val="393938"/>
        </w:rPr>
        <w:t>until the end of the twelve</w:t>
      </w:r>
      <w:r w:rsidR="002B2130">
        <w:rPr>
          <w:rFonts w:cs="Arial"/>
          <w:bCs/>
          <w:color w:val="393938"/>
        </w:rPr>
        <w:t>-</w:t>
      </w:r>
      <w:r w:rsidRPr="00442C9A">
        <w:rPr>
          <w:rFonts w:cs="Arial"/>
          <w:bCs/>
          <w:color w:val="393938"/>
        </w:rPr>
        <w:t xml:space="preserve">month hire period, when the </w:t>
      </w:r>
      <w:r w:rsidR="00AC7B92">
        <w:rPr>
          <w:rFonts w:cs="Arial"/>
          <w:bCs/>
          <w:color w:val="393938"/>
        </w:rPr>
        <w:t>owner (</w:t>
      </w:r>
      <w:r w:rsidRPr="00442C9A">
        <w:rPr>
          <w:rFonts w:cs="Arial"/>
          <w:bCs/>
          <w:color w:val="393938"/>
        </w:rPr>
        <w:t>Cyclescheme</w:t>
      </w:r>
      <w:r w:rsidR="00AC7B92">
        <w:rPr>
          <w:rFonts w:cs="Arial"/>
          <w:bCs/>
          <w:color w:val="393938"/>
        </w:rPr>
        <w:t xml:space="preserve">) will contact </w:t>
      </w:r>
      <w:r w:rsidR="00742C0E">
        <w:rPr>
          <w:rFonts w:cs="Arial"/>
          <w:bCs/>
          <w:color w:val="393938"/>
        </w:rPr>
        <w:t>the employee</w:t>
      </w:r>
      <w:r w:rsidR="00AC7B92">
        <w:rPr>
          <w:rFonts w:cs="Arial"/>
          <w:bCs/>
          <w:color w:val="393938"/>
        </w:rPr>
        <w:t xml:space="preserve"> to discuss </w:t>
      </w:r>
      <w:r w:rsidR="00742C0E">
        <w:rPr>
          <w:rFonts w:cs="Arial"/>
          <w:bCs/>
          <w:color w:val="393938"/>
        </w:rPr>
        <w:t>the</w:t>
      </w:r>
      <w:r w:rsidR="00AC7B92">
        <w:rPr>
          <w:rFonts w:cs="Arial"/>
          <w:bCs/>
          <w:color w:val="393938"/>
        </w:rPr>
        <w:t xml:space="preserve"> available options in relation to the equipment</w:t>
      </w:r>
      <w:r w:rsidRPr="00442C9A">
        <w:rPr>
          <w:rFonts w:cs="Arial"/>
          <w:bCs/>
          <w:color w:val="393938"/>
        </w:rPr>
        <w:t>.</w:t>
      </w:r>
    </w:p>
    <w:p w14:paraId="2F9CFC9F" w14:textId="34943136" w:rsidR="00835F95" w:rsidRDefault="00835F95" w:rsidP="004B7E82">
      <w:pPr>
        <w:spacing w:before="120" w:after="120" w:line="240" w:lineRule="auto"/>
        <w:contextualSpacing/>
        <w:jc w:val="both"/>
        <w:rPr>
          <w:rFonts w:cs="Arial"/>
          <w:bCs/>
          <w:color w:val="393938"/>
        </w:rPr>
      </w:pPr>
    </w:p>
    <w:p w14:paraId="1951CE55" w14:textId="6EC43F9F" w:rsidR="006A56D1" w:rsidRDefault="006A56D1" w:rsidP="004B7E82">
      <w:pPr>
        <w:spacing w:before="120" w:after="120" w:line="240" w:lineRule="auto"/>
        <w:contextualSpacing/>
        <w:jc w:val="both"/>
        <w:rPr>
          <w:rFonts w:cs="Arial"/>
          <w:bCs/>
          <w:color w:val="393938"/>
        </w:rPr>
      </w:pPr>
      <w:r>
        <w:rPr>
          <w:rFonts w:cs="Arial"/>
          <w:bCs/>
          <w:color w:val="393938"/>
        </w:rPr>
        <w:t>The employee entering the agreement shall be aware of the following:</w:t>
      </w:r>
    </w:p>
    <w:p w14:paraId="4B0CAD03" w14:textId="7B9839CD" w:rsidR="006A56D1" w:rsidRDefault="006A56D1" w:rsidP="004B7E82">
      <w:pPr>
        <w:pStyle w:val="ListParagraph"/>
        <w:numPr>
          <w:ilvl w:val="0"/>
          <w:numId w:val="38"/>
        </w:numPr>
        <w:spacing w:before="120" w:after="120" w:line="240" w:lineRule="auto"/>
        <w:jc w:val="both"/>
        <w:rPr>
          <w:rFonts w:cs="Arial"/>
          <w:bCs/>
          <w:color w:val="393938"/>
        </w:rPr>
      </w:pPr>
      <w:r>
        <w:rPr>
          <w:rFonts w:cs="Arial"/>
          <w:bCs/>
          <w:color w:val="393938"/>
        </w:rPr>
        <w:t xml:space="preserve">The employee is responsible for insuring the item(s) hired under the scheme against theft, loss and damage. </w:t>
      </w:r>
      <w:r w:rsidR="00AC7B92">
        <w:rPr>
          <w:rFonts w:cs="Arial"/>
          <w:bCs/>
          <w:color w:val="393938"/>
        </w:rPr>
        <w:t>CFRS</w:t>
      </w:r>
      <w:r>
        <w:rPr>
          <w:rFonts w:cs="Arial"/>
          <w:bCs/>
          <w:color w:val="393938"/>
        </w:rPr>
        <w:t xml:space="preserve"> </w:t>
      </w:r>
      <w:r w:rsidR="00AC7B92">
        <w:rPr>
          <w:rFonts w:cs="Arial"/>
          <w:bCs/>
          <w:color w:val="393938"/>
        </w:rPr>
        <w:t xml:space="preserve">or Cyclescheme </w:t>
      </w:r>
      <w:r>
        <w:rPr>
          <w:rFonts w:cs="Arial"/>
          <w:bCs/>
          <w:color w:val="393938"/>
        </w:rPr>
        <w:t>will not</w:t>
      </w:r>
      <w:r w:rsidR="00AC7B92">
        <w:rPr>
          <w:rFonts w:cs="Arial"/>
          <w:bCs/>
          <w:color w:val="393938"/>
        </w:rPr>
        <w:t xml:space="preserve"> be liable should the equipment be damaged, lost or stolen during the hire period and will not</w:t>
      </w:r>
      <w:r>
        <w:rPr>
          <w:rFonts w:cs="Arial"/>
          <w:bCs/>
          <w:color w:val="393938"/>
        </w:rPr>
        <w:t xml:space="preserve"> offer replacements.</w:t>
      </w:r>
    </w:p>
    <w:p w14:paraId="46187B3F" w14:textId="16E48ECF" w:rsidR="006A56D1" w:rsidRDefault="006A56D1" w:rsidP="004B7E82">
      <w:pPr>
        <w:pStyle w:val="ListParagraph"/>
        <w:numPr>
          <w:ilvl w:val="0"/>
          <w:numId w:val="38"/>
        </w:numPr>
        <w:spacing w:before="120" w:after="120" w:line="240" w:lineRule="auto"/>
        <w:jc w:val="both"/>
        <w:rPr>
          <w:rFonts w:cs="Arial"/>
          <w:bCs/>
          <w:color w:val="393938"/>
        </w:rPr>
      </w:pPr>
      <w:r w:rsidRPr="006A56D1">
        <w:rPr>
          <w:rFonts w:cs="Arial"/>
          <w:bCs/>
          <w:color w:val="393938"/>
        </w:rPr>
        <w:t>The employee will be responsible for replacing the item(s) at their own expense should they be lost, damaged or stolen.</w:t>
      </w:r>
      <w:r w:rsidR="000C2204" w:rsidRPr="006A56D1" w:rsidDel="000C2204">
        <w:rPr>
          <w:rFonts w:cs="Arial"/>
          <w:bCs/>
          <w:color w:val="393938"/>
        </w:rPr>
        <w:t xml:space="preserve"> </w:t>
      </w:r>
    </w:p>
    <w:p w14:paraId="0A792BE4" w14:textId="11E0F156" w:rsidR="006A56D1" w:rsidRDefault="006A56D1" w:rsidP="004B7E82">
      <w:pPr>
        <w:pStyle w:val="ListParagraph"/>
        <w:numPr>
          <w:ilvl w:val="0"/>
          <w:numId w:val="38"/>
        </w:numPr>
        <w:spacing w:before="120" w:after="120" w:line="240" w:lineRule="auto"/>
        <w:jc w:val="both"/>
        <w:rPr>
          <w:rFonts w:cs="Arial"/>
          <w:bCs/>
          <w:color w:val="393938"/>
        </w:rPr>
      </w:pPr>
      <w:r>
        <w:rPr>
          <w:rFonts w:cs="Arial"/>
          <w:bCs/>
          <w:color w:val="393938"/>
        </w:rPr>
        <w:t>The employee is responsible for maintaining and repairing the equipment hired through the scheme.</w:t>
      </w:r>
    </w:p>
    <w:p w14:paraId="2DEE113A" w14:textId="07256587" w:rsidR="006A56D1" w:rsidRDefault="006A56D1" w:rsidP="004B7E82">
      <w:pPr>
        <w:pStyle w:val="ListParagraph"/>
        <w:numPr>
          <w:ilvl w:val="0"/>
          <w:numId w:val="38"/>
        </w:numPr>
        <w:spacing w:before="120" w:after="120" w:line="240" w:lineRule="auto"/>
        <w:jc w:val="both"/>
        <w:rPr>
          <w:rFonts w:cs="Arial"/>
          <w:bCs/>
          <w:color w:val="393938"/>
        </w:rPr>
      </w:pPr>
      <w:r>
        <w:rPr>
          <w:rFonts w:cs="Arial"/>
          <w:bCs/>
          <w:color w:val="393938"/>
        </w:rPr>
        <w:t>The employee who has hired the item(s) through the scheme shall not hire out, transfer or dispose of the item(s).</w:t>
      </w:r>
    </w:p>
    <w:p w14:paraId="11344253" w14:textId="0DBDF594" w:rsidR="00443F90" w:rsidRDefault="00443F90" w:rsidP="00443F90">
      <w:pPr>
        <w:pStyle w:val="ListParagraph"/>
        <w:numPr>
          <w:ilvl w:val="0"/>
          <w:numId w:val="35"/>
        </w:numPr>
        <w:spacing w:line="240" w:lineRule="auto"/>
        <w:jc w:val="both"/>
      </w:pPr>
      <w:r>
        <w:t>the employee must remain in employment for the duration of the agreed hire period. If they cease employment with CFRS during the agreement, the remaining balance owed will be deducted from their final net pay.</w:t>
      </w:r>
      <w:r w:rsidR="00025E00">
        <w:t xml:space="preserve"> Should the employees final pay not cover the amount outstanding then an invoice will be raised by Fire against the employee to be paid in full within 30 days of issue.</w:t>
      </w:r>
    </w:p>
    <w:p w14:paraId="229342AC" w14:textId="53010CBD" w:rsidR="00025E00" w:rsidRDefault="00025E00" w:rsidP="00443F90">
      <w:pPr>
        <w:pStyle w:val="ListParagraph"/>
        <w:numPr>
          <w:ilvl w:val="0"/>
          <w:numId w:val="35"/>
        </w:numPr>
        <w:spacing w:line="240" w:lineRule="auto"/>
        <w:jc w:val="both"/>
      </w:pPr>
      <w:r>
        <w:t xml:space="preserve">At </w:t>
      </w:r>
      <w:r w:rsidRPr="00442C9A">
        <w:rPr>
          <w:rFonts w:cs="Arial"/>
          <w:bCs/>
          <w:color w:val="393938"/>
        </w:rPr>
        <w:t>th</w:t>
      </w:r>
      <w:r w:rsidR="00213CFC">
        <w:rPr>
          <w:rFonts w:cs="Arial"/>
          <w:bCs/>
          <w:color w:val="393938"/>
        </w:rPr>
        <w:t>is time</w:t>
      </w:r>
      <w:r w:rsidRPr="00442C9A">
        <w:rPr>
          <w:rFonts w:cs="Arial"/>
          <w:bCs/>
          <w:color w:val="393938"/>
        </w:rPr>
        <w:t xml:space="preserve">, the </w:t>
      </w:r>
      <w:r>
        <w:rPr>
          <w:rFonts w:cs="Arial"/>
          <w:bCs/>
          <w:color w:val="393938"/>
        </w:rPr>
        <w:t>owner (</w:t>
      </w:r>
      <w:r w:rsidRPr="00442C9A">
        <w:rPr>
          <w:rFonts w:cs="Arial"/>
          <w:bCs/>
          <w:color w:val="393938"/>
        </w:rPr>
        <w:t>Cyclescheme</w:t>
      </w:r>
      <w:r>
        <w:rPr>
          <w:rFonts w:cs="Arial"/>
          <w:bCs/>
          <w:color w:val="393938"/>
        </w:rPr>
        <w:t>) will contact you to discuss your available options in relation to the equipment</w:t>
      </w:r>
      <w:r w:rsidRPr="00442C9A">
        <w:rPr>
          <w:rFonts w:cs="Arial"/>
          <w:bCs/>
          <w:color w:val="393938"/>
        </w:rPr>
        <w:t>.</w:t>
      </w:r>
    </w:p>
    <w:p w14:paraId="3ED7FE69" w14:textId="77777777" w:rsidR="00491A92" w:rsidRDefault="00491A92" w:rsidP="004B7E82">
      <w:pPr>
        <w:pStyle w:val="Heading3"/>
        <w:spacing w:line="240" w:lineRule="auto"/>
        <w:contextualSpacing/>
        <w:jc w:val="both"/>
      </w:pPr>
    </w:p>
    <w:p w14:paraId="6A9D94E5" w14:textId="14B35531" w:rsidR="00835F95" w:rsidRDefault="000E2349" w:rsidP="004B7E82">
      <w:pPr>
        <w:pStyle w:val="Heading3"/>
        <w:spacing w:line="240" w:lineRule="auto"/>
        <w:contextualSpacing/>
        <w:jc w:val="both"/>
      </w:pPr>
      <w:bookmarkStart w:id="11" w:name="_Toc190767965"/>
      <w:r>
        <w:t>Joining the Cycle to Work Scheme</w:t>
      </w:r>
      <w:bookmarkEnd w:id="11"/>
    </w:p>
    <w:p w14:paraId="26377E5D" w14:textId="2CE826B1" w:rsidR="000E2349" w:rsidRDefault="000E2349" w:rsidP="004B7E82">
      <w:pPr>
        <w:spacing w:line="240" w:lineRule="auto"/>
        <w:contextualSpacing/>
        <w:jc w:val="both"/>
      </w:pPr>
      <w:proofErr w:type="spellStart"/>
      <w:r>
        <w:t>Employee’s</w:t>
      </w:r>
      <w:proofErr w:type="spellEnd"/>
      <w:r>
        <w:t xml:space="preserve"> who meet the qualifying criteria to be a</w:t>
      </w:r>
      <w:r w:rsidR="00742C0E">
        <w:t xml:space="preserve"> </w:t>
      </w:r>
      <w:r>
        <w:t>part of the Cycle to Work Scheme can apply at any time of the year providing they haven’t already taken part in a Cycle to Work agreement or if they have this has been fully paid off at the time of application.</w:t>
      </w:r>
    </w:p>
    <w:p w14:paraId="1EAE86F8" w14:textId="77777777" w:rsidR="000E2349" w:rsidRDefault="000E2349" w:rsidP="004B7E82">
      <w:pPr>
        <w:spacing w:line="240" w:lineRule="auto"/>
        <w:contextualSpacing/>
        <w:jc w:val="both"/>
      </w:pPr>
    </w:p>
    <w:p w14:paraId="50646AC8" w14:textId="0DBB6803" w:rsidR="000E2349" w:rsidRDefault="000E2349" w:rsidP="004B7E82">
      <w:pPr>
        <w:spacing w:line="240" w:lineRule="auto"/>
        <w:contextualSpacing/>
        <w:jc w:val="both"/>
      </w:pPr>
      <w:r>
        <w:t xml:space="preserve">They need to go into one of the Cyclescheme’s partner shops and obtain a written quotation for the item(s) they intend to hire through the scheme. They then need to apply </w:t>
      </w:r>
      <w:r w:rsidR="00213CFC">
        <w:t xml:space="preserve">to Cyclescheme </w:t>
      </w:r>
      <w:r>
        <w:t xml:space="preserve">via the </w:t>
      </w:r>
      <w:hyperlink r:id="rId12" w:history="1">
        <w:r w:rsidRPr="000E2349">
          <w:rPr>
            <w:rStyle w:val="Hyperlink"/>
          </w:rPr>
          <w:t>Unique URL</w:t>
        </w:r>
      </w:hyperlink>
      <w:r>
        <w:t xml:space="preserve">. The application will then be sent through the CFRS HR department for approval. </w:t>
      </w:r>
      <w:r w:rsidR="00194EC3">
        <w:t xml:space="preserve">There is a requirement for a minimum wage check to be undertaken throughout the </w:t>
      </w:r>
      <w:r w:rsidR="00562DB7">
        <w:t>application</w:t>
      </w:r>
      <w:r w:rsidR="00194EC3">
        <w:t xml:space="preserve"> process by the service. </w:t>
      </w:r>
      <w:r w:rsidR="00213CFC">
        <w:t xml:space="preserve">If the application is </w:t>
      </w:r>
      <w:r>
        <w:t>approved</w:t>
      </w:r>
      <w:r w:rsidR="00213CFC">
        <w:t xml:space="preserve"> and once the agreement has been signed,</w:t>
      </w:r>
      <w:r>
        <w:t xml:space="preserve"> </w:t>
      </w:r>
      <w:r w:rsidR="00C758A6">
        <w:t>CFRS HR and Finance teams</w:t>
      </w:r>
      <w:r>
        <w:t xml:space="preserve"> will</w:t>
      </w:r>
      <w:r w:rsidR="00C758A6">
        <w:t xml:space="preserve"> arrange the payment of the invoice a</w:t>
      </w:r>
      <w:r>
        <w:t xml:space="preserve">nd </w:t>
      </w:r>
      <w:r w:rsidR="00194EC3">
        <w:t xml:space="preserve">payroll will be informed of </w:t>
      </w:r>
      <w:r>
        <w:t>the salary sacrifice</w:t>
      </w:r>
      <w:r w:rsidR="00194EC3">
        <w:t xml:space="preserve"> and will organise this appropriately</w:t>
      </w:r>
      <w:r>
        <w:t>.</w:t>
      </w:r>
    </w:p>
    <w:p w14:paraId="703879E3" w14:textId="77777777" w:rsidR="00967086" w:rsidRDefault="00967086" w:rsidP="004B7E82">
      <w:pPr>
        <w:spacing w:line="240" w:lineRule="auto"/>
        <w:contextualSpacing/>
        <w:jc w:val="both"/>
      </w:pPr>
    </w:p>
    <w:p w14:paraId="065FF642" w14:textId="52E8BDF6" w:rsidR="00967086" w:rsidRDefault="00967086" w:rsidP="004B7E82">
      <w:pPr>
        <w:spacing w:line="240" w:lineRule="auto"/>
        <w:contextualSpacing/>
        <w:jc w:val="both"/>
      </w:pPr>
      <w:r>
        <w:t>The employee undertaking the bicycle hire cannot purchase any equipment through this scheme on behalf of someone else.</w:t>
      </w:r>
    </w:p>
    <w:p w14:paraId="41682D0E" w14:textId="77777777" w:rsidR="000E2349" w:rsidRDefault="000E2349" w:rsidP="004B7E82">
      <w:pPr>
        <w:spacing w:line="240" w:lineRule="auto"/>
        <w:contextualSpacing/>
        <w:jc w:val="both"/>
      </w:pPr>
    </w:p>
    <w:p w14:paraId="7E6096D6" w14:textId="71D1BB38" w:rsidR="000E2349" w:rsidRDefault="00213CFC" w:rsidP="004B7E82">
      <w:pPr>
        <w:spacing w:line="240" w:lineRule="auto"/>
        <w:contextualSpacing/>
        <w:jc w:val="both"/>
      </w:pPr>
      <w:r>
        <w:t xml:space="preserve">A list of Partner Cycle shops is available here: </w:t>
      </w:r>
      <w:hyperlink r:id="rId13" w:history="1">
        <w:r w:rsidR="00C661EE" w:rsidRPr="00C661EE">
          <w:rPr>
            <w:rStyle w:val="Hyperlink"/>
          </w:rPr>
          <w:t>Cyclescheme Partner Cycle Shops</w:t>
        </w:r>
      </w:hyperlink>
    </w:p>
    <w:p w14:paraId="7B356141" w14:textId="77777777" w:rsidR="00C661EE" w:rsidRDefault="00C661EE" w:rsidP="004B7E82">
      <w:pPr>
        <w:spacing w:line="240" w:lineRule="auto"/>
        <w:contextualSpacing/>
        <w:jc w:val="both"/>
      </w:pPr>
    </w:p>
    <w:p w14:paraId="0E8EB1A6" w14:textId="530E4A03" w:rsidR="00C758A6" w:rsidRDefault="00C758A6" w:rsidP="00C758A6">
      <w:pPr>
        <w:pStyle w:val="Heading3"/>
      </w:pPr>
      <w:bookmarkStart w:id="12" w:name="_Toc190767966"/>
      <w:r>
        <w:t>Pension Impact</w:t>
      </w:r>
      <w:bookmarkEnd w:id="12"/>
    </w:p>
    <w:p w14:paraId="5FA8E355" w14:textId="4663B505" w:rsidR="00C758A6" w:rsidRPr="00C758A6" w:rsidRDefault="009C11D2" w:rsidP="00C758A6">
      <w:r>
        <w:t xml:space="preserve">There is no impact to employee’s corporate or operational pension </w:t>
      </w:r>
      <w:proofErr w:type="gramStart"/>
      <w:r>
        <w:t>as a result of</w:t>
      </w:r>
      <w:proofErr w:type="gramEnd"/>
      <w:r>
        <w:t xml:space="preserve"> signing up to this salary sacrifice scheme.</w:t>
      </w:r>
    </w:p>
    <w:p w14:paraId="0156952A" w14:textId="77777777" w:rsidR="00491A92" w:rsidRDefault="00491A92" w:rsidP="004B7E82">
      <w:pPr>
        <w:pStyle w:val="Heading3"/>
        <w:spacing w:line="240" w:lineRule="auto"/>
        <w:contextualSpacing/>
        <w:jc w:val="both"/>
      </w:pPr>
    </w:p>
    <w:p w14:paraId="588FA3D3" w14:textId="7F47D22A" w:rsidR="00C661EE" w:rsidRDefault="00C661EE" w:rsidP="004B7E82">
      <w:pPr>
        <w:pStyle w:val="Heading3"/>
        <w:spacing w:line="240" w:lineRule="auto"/>
        <w:contextualSpacing/>
        <w:jc w:val="both"/>
      </w:pPr>
      <w:bookmarkStart w:id="13" w:name="_Toc190767967"/>
      <w:r>
        <w:t>Withdrawing from the Cycle to Work Scheme</w:t>
      </w:r>
      <w:bookmarkEnd w:id="13"/>
    </w:p>
    <w:p w14:paraId="2DBFCE0A" w14:textId="77777777" w:rsidR="00C661EE" w:rsidRDefault="00C661EE" w:rsidP="004B7E82">
      <w:pPr>
        <w:spacing w:line="240" w:lineRule="auto"/>
        <w:contextualSpacing/>
        <w:jc w:val="both"/>
      </w:pPr>
      <w:r>
        <w:t xml:space="preserve">Under the Consumer Credit Act 1974 you may withdraw from the scheme within 14 days of </w:t>
      </w:r>
    </w:p>
    <w:p w14:paraId="32502642" w14:textId="77777777" w:rsidR="00C661EE" w:rsidRDefault="00C661EE" w:rsidP="004B7E82">
      <w:pPr>
        <w:spacing w:line="240" w:lineRule="auto"/>
        <w:contextualSpacing/>
        <w:jc w:val="both"/>
      </w:pPr>
      <w:r>
        <w:t>receiving the agreement or under the Consumer Protection (Distance Selling) Regulations 2000</w:t>
      </w:r>
    </w:p>
    <w:p w14:paraId="573E3CED" w14:textId="47D87689" w:rsidR="00C661EE" w:rsidRDefault="00C661EE" w:rsidP="004B7E82">
      <w:pPr>
        <w:spacing w:line="240" w:lineRule="auto"/>
        <w:contextualSpacing/>
        <w:jc w:val="both"/>
      </w:pPr>
      <w:r>
        <w:t>within 7 days of collecting your bike.</w:t>
      </w:r>
    </w:p>
    <w:p w14:paraId="371DE293" w14:textId="77777777" w:rsidR="00C661EE" w:rsidRDefault="00C661EE" w:rsidP="004B7E82">
      <w:pPr>
        <w:spacing w:line="240" w:lineRule="auto"/>
        <w:contextualSpacing/>
        <w:jc w:val="both"/>
      </w:pPr>
    </w:p>
    <w:p w14:paraId="15536F69" w14:textId="2975154D" w:rsidR="00C661EE" w:rsidRDefault="00C661EE" w:rsidP="004B7E82">
      <w:pPr>
        <w:spacing w:line="240" w:lineRule="auto"/>
        <w:contextualSpacing/>
        <w:jc w:val="both"/>
      </w:pPr>
      <w:r>
        <w:t xml:space="preserve">It is not possible to opt out of the scheme after this </w:t>
      </w:r>
      <w:proofErr w:type="gramStart"/>
      <w:r>
        <w:t>time period</w:t>
      </w:r>
      <w:proofErr w:type="gramEnd"/>
      <w:r>
        <w:t xml:space="preserve"> has lapsed. The employee signs up the scheme with the </w:t>
      </w:r>
      <w:r w:rsidR="00491A92">
        <w:t>understanding</w:t>
      </w:r>
      <w:r>
        <w:t xml:space="preserve"> they will be required to meet the </w:t>
      </w:r>
      <w:proofErr w:type="gramStart"/>
      <w:r w:rsidR="00491A92">
        <w:t>twelve monthly</w:t>
      </w:r>
      <w:proofErr w:type="gramEnd"/>
      <w:r>
        <w:t xml:space="preserve"> payments to cover the cost of the hire. Before entering the agreement</w:t>
      </w:r>
      <w:r w:rsidR="00491A92">
        <w:t>,</w:t>
      </w:r>
      <w:r>
        <w:t xml:space="preserve"> employees should ensure they are satisfied with the terms and conditions of the agreement and the equipment they have chosen to hire before finally committing to the agreement. </w:t>
      </w:r>
    </w:p>
    <w:p w14:paraId="4AC9B664" w14:textId="77777777" w:rsidR="00C661EE" w:rsidRDefault="00C661EE" w:rsidP="004B7E82">
      <w:pPr>
        <w:spacing w:line="240" w:lineRule="auto"/>
        <w:contextualSpacing/>
        <w:jc w:val="both"/>
      </w:pPr>
    </w:p>
    <w:p w14:paraId="056C9361" w14:textId="6CE9F6E4" w:rsidR="00C661EE" w:rsidRDefault="00C661EE" w:rsidP="004B7E82">
      <w:pPr>
        <w:spacing w:line="240" w:lineRule="auto"/>
        <w:contextualSpacing/>
        <w:jc w:val="both"/>
      </w:pPr>
      <w:r>
        <w:t xml:space="preserve">If an employee ceases employment with Cumbria Fire &amp; Rescue Service before the end of the twelve month hire period they are obliged to pay the outstanding balance of the agreement from </w:t>
      </w:r>
      <w:r w:rsidR="00A039B3">
        <w:t>their final salary payment</w:t>
      </w:r>
      <w:r>
        <w:t xml:space="preserve"> or if this is not possible, e.g. the amount exceeds the last net pay, </w:t>
      </w:r>
      <w:r w:rsidR="00A039B3">
        <w:t>then an invoice will be raised by Fire against the employee to be paid in full within 30 days of issue</w:t>
      </w:r>
      <w:r>
        <w:t>.</w:t>
      </w:r>
    </w:p>
    <w:p w14:paraId="671B3CD4" w14:textId="77777777" w:rsidR="00491A92" w:rsidRDefault="00491A92" w:rsidP="004B7E82">
      <w:pPr>
        <w:pStyle w:val="Heading3"/>
        <w:spacing w:line="240" w:lineRule="auto"/>
        <w:contextualSpacing/>
        <w:jc w:val="both"/>
      </w:pPr>
    </w:p>
    <w:p w14:paraId="635AFB45" w14:textId="71A52221" w:rsidR="00C661EE" w:rsidRDefault="00C661EE" w:rsidP="004B7E82">
      <w:pPr>
        <w:pStyle w:val="Heading3"/>
        <w:spacing w:line="240" w:lineRule="auto"/>
        <w:contextualSpacing/>
        <w:jc w:val="both"/>
      </w:pPr>
      <w:bookmarkStart w:id="14" w:name="_Toc190767968"/>
      <w:r>
        <w:t>Facilities</w:t>
      </w:r>
      <w:bookmarkEnd w:id="14"/>
    </w:p>
    <w:p w14:paraId="7F29F2E5" w14:textId="3645DDFB" w:rsidR="00C661EE" w:rsidRPr="00C661EE" w:rsidRDefault="00C661EE" w:rsidP="004B7E82">
      <w:pPr>
        <w:spacing w:line="240" w:lineRule="auto"/>
        <w:contextualSpacing/>
        <w:jc w:val="both"/>
      </w:pPr>
      <w:r>
        <w:t xml:space="preserve">Cumbria Fire &amp; Rescue Service have bicycle storage facilities at </w:t>
      </w:r>
      <w:r w:rsidR="00491A92">
        <w:t>all</w:t>
      </w:r>
      <w:r>
        <w:t xml:space="preserve"> our stations which are available for all employees to utilise. There is also unisex shower and changing facilities at each of our stations for our employees to use who chose to cycle to work whether that is through the Cycle to Work Scheme or of their own accord.</w:t>
      </w:r>
    </w:p>
    <w:p w14:paraId="2DE52806" w14:textId="77777777" w:rsidR="00C661EE" w:rsidRDefault="00C661EE" w:rsidP="00C661EE"/>
    <w:p w14:paraId="08909E89" w14:textId="6B5915DB" w:rsidR="00C661EE" w:rsidRDefault="00C758A6" w:rsidP="00C758A6">
      <w:pPr>
        <w:pStyle w:val="Heading3"/>
      </w:pPr>
      <w:bookmarkStart w:id="15" w:name="_Toc190767969"/>
      <w:r>
        <w:lastRenderedPageBreak/>
        <w:t>Key Contacts</w:t>
      </w:r>
      <w:bookmarkEnd w:id="15"/>
    </w:p>
    <w:p w14:paraId="7DC67159" w14:textId="53C538EC" w:rsidR="00C758A6" w:rsidRDefault="00C758A6" w:rsidP="00C758A6">
      <w:r>
        <w:t xml:space="preserve">HR: </w:t>
      </w:r>
      <w:hyperlink r:id="rId14" w:history="1">
        <w:r w:rsidRPr="0026005C">
          <w:rPr>
            <w:rStyle w:val="Hyperlink"/>
          </w:rPr>
          <w:t>HR@cumbriafire.gov.uk</w:t>
        </w:r>
      </w:hyperlink>
    </w:p>
    <w:p w14:paraId="29F68F2D" w14:textId="72DF79F3" w:rsidR="00C758A6" w:rsidRDefault="00C758A6" w:rsidP="00C758A6">
      <w:r>
        <w:t xml:space="preserve">Cyclescheme: </w:t>
      </w:r>
      <w:r w:rsidRPr="00C758A6">
        <w:rPr>
          <w:rFonts w:ascii="Arial Black" w:hAnsi="Arial Black"/>
          <w:color w:val="BB1822" w:themeColor="background2"/>
        </w:rPr>
        <w:t>03316 305416</w:t>
      </w:r>
      <w:r w:rsidRPr="00C758A6">
        <w:rPr>
          <w:color w:val="BB1822" w:themeColor="background2"/>
        </w:rPr>
        <w:t xml:space="preserve"> </w:t>
      </w:r>
      <w:r>
        <w:t xml:space="preserve">or </w:t>
      </w:r>
      <w:hyperlink r:id="rId15" w:history="1">
        <w:r w:rsidRPr="0026005C">
          <w:rPr>
            <w:rStyle w:val="Hyperlink"/>
          </w:rPr>
          <w:t>enquiries@bhnetwork.com</w:t>
        </w:r>
      </w:hyperlink>
      <w:r>
        <w:t xml:space="preserve"> </w:t>
      </w:r>
    </w:p>
    <w:p w14:paraId="78D11B0D" w14:textId="54EC38DC" w:rsidR="00835F95" w:rsidRPr="00C758A6" w:rsidRDefault="00C758A6" w:rsidP="00C758A6">
      <w:pPr>
        <w:rPr>
          <w:rFonts w:ascii="Arial Black" w:hAnsi="Arial Black" w:cs="Arial"/>
          <w:bCs/>
          <w:color w:val="393938"/>
        </w:rPr>
      </w:pPr>
      <w:r>
        <w:tab/>
      </w:r>
      <w:hyperlink r:id="rId16" w:history="1">
        <w:r w:rsidRPr="00C758A6">
          <w:rPr>
            <w:rFonts w:ascii="Arial Black" w:hAnsi="Arial Black"/>
            <w:color w:val="BB1822" w:themeColor="background2"/>
            <w:u w:val="single"/>
          </w:rPr>
          <w:t>Cyclescheme | Contact Us About Cycle to Work - Cyclescheme</w:t>
        </w:r>
      </w:hyperlink>
      <w:r w:rsidRPr="00C758A6">
        <w:rPr>
          <w:rFonts w:ascii="Arial Black" w:hAnsi="Arial Black"/>
          <w:color w:val="BB1822" w:themeColor="background2"/>
        </w:rPr>
        <w:t xml:space="preserve"> </w:t>
      </w:r>
    </w:p>
    <w:p w14:paraId="0803C5BB" w14:textId="13C544CB" w:rsidR="00835F95" w:rsidRDefault="00835F95" w:rsidP="00BC2A04">
      <w:pPr>
        <w:spacing w:before="120" w:after="120" w:line="240" w:lineRule="auto"/>
        <w:jc w:val="both"/>
        <w:rPr>
          <w:rFonts w:cs="Arial"/>
          <w:bCs/>
          <w:color w:val="393938"/>
        </w:rPr>
      </w:pPr>
    </w:p>
    <w:p w14:paraId="11ECD985" w14:textId="77777777" w:rsidR="00835F95" w:rsidRPr="00835F95" w:rsidRDefault="00835F95" w:rsidP="00BC2A04">
      <w:pPr>
        <w:spacing w:before="120" w:after="120" w:line="240" w:lineRule="auto"/>
        <w:jc w:val="both"/>
        <w:rPr>
          <w:rStyle w:val="Hyperlink"/>
        </w:rPr>
      </w:pPr>
    </w:p>
    <w:sectPr w:rsidR="00835F95" w:rsidRPr="00835F95" w:rsidSect="00835F95">
      <w:headerReference w:type="even" r:id="rId17"/>
      <w:headerReference w:type="default" r:id="rId18"/>
      <w:footerReference w:type="even" r:id="rId19"/>
      <w:footerReference w:type="default" r:id="rId20"/>
      <w:headerReference w:type="first" r:id="rId21"/>
      <w:footerReference w:type="first" r:id="rId22"/>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B582109"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7692DDE9">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367CED"/>
    <w:multiLevelType w:val="hybridMultilevel"/>
    <w:tmpl w:val="A860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2F4AF2"/>
    <w:multiLevelType w:val="hybridMultilevel"/>
    <w:tmpl w:val="B60C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7741F"/>
    <w:multiLevelType w:val="hybridMultilevel"/>
    <w:tmpl w:val="1B0AD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D42F99"/>
    <w:multiLevelType w:val="hybridMultilevel"/>
    <w:tmpl w:val="71D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EC7694"/>
    <w:multiLevelType w:val="hybridMultilevel"/>
    <w:tmpl w:val="BA6A0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7"/>
  </w:num>
  <w:num w:numId="3" w16cid:durableId="1679310131">
    <w:abstractNumId w:val="20"/>
  </w:num>
  <w:num w:numId="4" w16cid:durableId="2082213094">
    <w:abstractNumId w:val="33"/>
  </w:num>
  <w:num w:numId="5" w16cid:durableId="1279528031">
    <w:abstractNumId w:val="26"/>
  </w:num>
  <w:num w:numId="6" w16cid:durableId="1948728523">
    <w:abstractNumId w:val="28"/>
  </w:num>
  <w:num w:numId="7" w16cid:durableId="1748765981">
    <w:abstractNumId w:val="10"/>
  </w:num>
  <w:num w:numId="8" w16cid:durableId="770470172">
    <w:abstractNumId w:val="23"/>
  </w:num>
  <w:num w:numId="9" w16cid:durableId="801507558">
    <w:abstractNumId w:val="36"/>
  </w:num>
  <w:num w:numId="10" w16cid:durableId="425855461">
    <w:abstractNumId w:val="7"/>
  </w:num>
  <w:num w:numId="11" w16cid:durableId="1868791141">
    <w:abstractNumId w:val="25"/>
  </w:num>
  <w:num w:numId="12" w16cid:durableId="1149713589">
    <w:abstractNumId w:val="21"/>
  </w:num>
  <w:num w:numId="13" w16cid:durableId="1825971133">
    <w:abstractNumId w:val="34"/>
  </w:num>
  <w:num w:numId="14" w16cid:durableId="501628944">
    <w:abstractNumId w:val="15"/>
  </w:num>
  <w:num w:numId="15" w16cid:durableId="742719538">
    <w:abstractNumId w:val="24"/>
  </w:num>
  <w:num w:numId="16" w16cid:durableId="1095250122">
    <w:abstractNumId w:val="9"/>
  </w:num>
  <w:num w:numId="17" w16cid:durableId="812720222">
    <w:abstractNumId w:val="37"/>
  </w:num>
  <w:num w:numId="18" w16cid:durableId="180556028">
    <w:abstractNumId w:val="22"/>
  </w:num>
  <w:num w:numId="19" w16cid:durableId="1160998515">
    <w:abstractNumId w:val="12"/>
  </w:num>
  <w:num w:numId="20" w16cid:durableId="1679581245">
    <w:abstractNumId w:val="13"/>
  </w:num>
  <w:num w:numId="21" w16cid:durableId="100075873">
    <w:abstractNumId w:val="19"/>
  </w:num>
  <w:num w:numId="22" w16cid:durableId="1531411270">
    <w:abstractNumId w:val="35"/>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2"/>
  </w:num>
  <w:num w:numId="28" w16cid:durableId="1819104245">
    <w:abstractNumId w:val="0"/>
  </w:num>
  <w:num w:numId="29" w16cid:durableId="1275988086">
    <w:abstractNumId w:val="38"/>
  </w:num>
  <w:num w:numId="30" w16cid:durableId="327287912">
    <w:abstractNumId w:val="14"/>
  </w:num>
  <w:num w:numId="31" w16cid:durableId="623586424">
    <w:abstractNumId w:val="1"/>
  </w:num>
  <w:num w:numId="32" w16cid:durableId="613251922">
    <w:abstractNumId w:val="30"/>
  </w:num>
  <w:num w:numId="33" w16cid:durableId="90248434">
    <w:abstractNumId w:val="11"/>
  </w:num>
  <w:num w:numId="34" w16cid:durableId="1233462615">
    <w:abstractNumId w:val="16"/>
  </w:num>
  <w:num w:numId="35" w16cid:durableId="827329388">
    <w:abstractNumId w:val="31"/>
  </w:num>
  <w:num w:numId="36" w16cid:durableId="1783643397">
    <w:abstractNumId w:val="18"/>
  </w:num>
  <w:num w:numId="37" w16cid:durableId="1559248611">
    <w:abstractNumId w:val="29"/>
  </w:num>
  <w:num w:numId="38" w16cid:durableId="673604701">
    <w:abstractNumId w:val="2"/>
  </w:num>
  <w:num w:numId="39" w16cid:durableId="1124495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5E00"/>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2204"/>
    <w:rsid w:val="000C5582"/>
    <w:rsid w:val="000C62F0"/>
    <w:rsid w:val="000D0DFF"/>
    <w:rsid w:val="000D0E03"/>
    <w:rsid w:val="000D6ECB"/>
    <w:rsid w:val="000E2349"/>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503BC"/>
    <w:rsid w:val="00161CDF"/>
    <w:rsid w:val="00170CE1"/>
    <w:rsid w:val="0018284F"/>
    <w:rsid w:val="00186338"/>
    <w:rsid w:val="00192267"/>
    <w:rsid w:val="00193472"/>
    <w:rsid w:val="00194EC3"/>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1F2E37"/>
    <w:rsid w:val="00204386"/>
    <w:rsid w:val="00205D1F"/>
    <w:rsid w:val="00210389"/>
    <w:rsid w:val="00213CFC"/>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2130"/>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4CC"/>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3F7B45"/>
    <w:rsid w:val="004021D3"/>
    <w:rsid w:val="00407E1F"/>
    <w:rsid w:val="00413E8D"/>
    <w:rsid w:val="004168A4"/>
    <w:rsid w:val="004253EA"/>
    <w:rsid w:val="004263CF"/>
    <w:rsid w:val="00427035"/>
    <w:rsid w:val="00442C9A"/>
    <w:rsid w:val="00443F90"/>
    <w:rsid w:val="004459E2"/>
    <w:rsid w:val="00447A2F"/>
    <w:rsid w:val="00453786"/>
    <w:rsid w:val="004553D8"/>
    <w:rsid w:val="004600CD"/>
    <w:rsid w:val="00462943"/>
    <w:rsid w:val="004740ED"/>
    <w:rsid w:val="004913BD"/>
    <w:rsid w:val="00491A92"/>
    <w:rsid w:val="00492A5D"/>
    <w:rsid w:val="004A632C"/>
    <w:rsid w:val="004B0EBD"/>
    <w:rsid w:val="004B1516"/>
    <w:rsid w:val="004B46C2"/>
    <w:rsid w:val="004B472C"/>
    <w:rsid w:val="004B7E82"/>
    <w:rsid w:val="004C09F0"/>
    <w:rsid w:val="004C0B30"/>
    <w:rsid w:val="004C0F37"/>
    <w:rsid w:val="004C4F84"/>
    <w:rsid w:val="004E1ABA"/>
    <w:rsid w:val="004E3AD9"/>
    <w:rsid w:val="004E47C2"/>
    <w:rsid w:val="004E7AC9"/>
    <w:rsid w:val="004F413D"/>
    <w:rsid w:val="005012E8"/>
    <w:rsid w:val="00502870"/>
    <w:rsid w:val="00506957"/>
    <w:rsid w:val="00515D3D"/>
    <w:rsid w:val="00520D27"/>
    <w:rsid w:val="00522BAE"/>
    <w:rsid w:val="00523C36"/>
    <w:rsid w:val="00532349"/>
    <w:rsid w:val="00540D1D"/>
    <w:rsid w:val="00541565"/>
    <w:rsid w:val="005464C2"/>
    <w:rsid w:val="00546F07"/>
    <w:rsid w:val="00547376"/>
    <w:rsid w:val="005536FF"/>
    <w:rsid w:val="00555AB3"/>
    <w:rsid w:val="00560E18"/>
    <w:rsid w:val="00562DB7"/>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00EC"/>
    <w:rsid w:val="00642490"/>
    <w:rsid w:val="0064303C"/>
    <w:rsid w:val="0064524B"/>
    <w:rsid w:val="0064541A"/>
    <w:rsid w:val="00651188"/>
    <w:rsid w:val="00661973"/>
    <w:rsid w:val="00663175"/>
    <w:rsid w:val="006704DE"/>
    <w:rsid w:val="006836F4"/>
    <w:rsid w:val="00687175"/>
    <w:rsid w:val="006A2DCC"/>
    <w:rsid w:val="006A56D1"/>
    <w:rsid w:val="006B1240"/>
    <w:rsid w:val="006B5DA1"/>
    <w:rsid w:val="006C26C7"/>
    <w:rsid w:val="006C2B40"/>
    <w:rsid w:val="006C36D9"/>
    <w:rsid w:val="006C6A86"/>
    <w:rsid w:val="006D5585"/>
    <w:rsid w:val="006D61F4"/>
    <w:rsid w:val="006D7075"/>
    <w:rsid w:val="006F0F6F"/>
    <w:rsid w:val="006F785A"/>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2C0E"/>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0DBD"/>
    <w:rsid w:val="008139D7"/>
    <w:rsid w:val="008142FA"/>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3CD2"/>
    <w:rsid w:val="008A3D9D"/>
    <w:rsid w:val="008A7A3B"/>
    <w:rsid w:val="008B1882"/>
    <w:rsid w:val="008B2B99"/>
    <w:rsid w:val="008B2E23"/>
    <w:rsid w:val="008C3D45"/>
    <w:rsid w:val="008C646F"/>
    <w:rsid w:val="008D1740"/>
    <w:rsid w:val="008D3DF3"/>
    <w:rsid w:val="008D63BA"/>
    <w:rsid w:val="008E0FB6"/>
    <w:rsid w:val="008E4BBE"/>
    <w:rsid w:val="008F79A0"/>
    <w:rsid w:val="009054E6"/>
    <w:rsid w:val="009120E6"/>
    <w:rsid w:val="00912717"/>
    <w:rsid w:val="00916DF4"/>
    <w:rsid w:val="00920CD7"/>
    <w:rsid w:val="00922A40"/>
    <w:rsid w:val="009422C2"/>
    <w:rsid w:val="00944FAA"/>
    <w:rsid w:val="00944FC0"/>
    <w:rsid w:val="0095010B"/>
    <w:rsid w:val="0095017A"/>
    <w:rsid w:val="009514B6"/>
    <w:rsid w:val="0095399F"/>
    <w:rsid w:val="00957780"/>
    <w:rsid w:val="00962033"/>
    <w:rsid w:val="00967086"/>
    <w:rsid w:val="009729A3"/>
    <w:rsid w:val="00972FA9"/>
    <w:rsid w:val="00992607"/>
    <w:rsid w:val="00993A6F"/>
    <w:rsid w:val="00997FB0"/>
    <w:rsid w:val="009A6CCB"/>
    <w:rsid w:val="009B5CBB"/>
    <w:rsid w:val="009C11D2"/>
    <w:rsid w:val="009C192A"/>
    <w:rsid w:val="009C523D"/>
    <w:rsid w:val="009C6C81"/>
    <w:rsid w:val="009E65DB"/>
    <w:rsid w:val="009E7984"/>
    <w:rsid w:val="009E7F36"/>
    <w:rsid w:val="009F126E"/>
    <w:rsid w:val="009F309C"/>
    <w:rsid w:val="00A00097"/>
    <w:rsid w:val="00A01F52"/>
    <w:rsid w:val="00A039B3"/>
    <w:rsid w:val="00A0799E"/>
    <w:rsid w:val="00A1159B"/>
    <w:rsid w:val="00A2477C"/>
    <w:rsid w:val="00A24AC9"/>
    <w:rsid w:val="00A2539E"/>
    <w:rsid w:val="00A330E1"/>
    <w:rsid w:val="00A56C3E"/>
    <w:rsid w:val="00A5728A"/>
    <w:rsid w:val="00A60FFC"/>
    <w:rsid w:val="00A63315"/>
    <w:rsid w:val="00A7739C"/>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C7B92"/>
    <w:rsid w:val="00AD5A2A"/>
    <w:rsid w:val="00AD6A59"/>
    <w:rsid w:val="00AD769E"/>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16B1"/>
    <w:rsid w:val="00B83907"/>
    <w:rsid w:val="00B922A4"/>
    <w:rsid w:val="00B94F92"/>
    <w:rsid w:val="00BA2E7E"/>
    <w:rsid w:val="00BA4EB6"/>
    <w:rsid w:val="00BA65EB"/>
    <w:rsid w:val="00BB24C4"/>
    <w:rsid w:val="00BB2CE8"/>
    <w:rsid w:val="00BB7B19"/>
    <w:rsid w:val="00BC153B"/>
    <w:rsid w:val="00BC2A04"/>
    <w:rsid w:val="00BC6402"/>
    <w:rsid w:val="00BD20F8"/>
    <w:rsid w:val="00BD3892"/>
    <w:rsid w:val="00BE419D"/>
    <w:rsid w:val="00BE6820"/>
    <w:rsid w:val="00BE71E6"/>
    <w:rsid w:val="00BF12AC"/>
    <w:rsid w:val="00C03071"/>
    <w:rsid w:val="00C04261"/>
    <w:rsid w:val="00C0442A"/>
    <w:rsid w:val="00C0558F"/>
    <w:rsid w:val="00C13F95"/>
    <w:rsid w:val="00C16BDC"/>
    <w:rsid w:val="00C175AB"/>
    <w:rsid w:val="00C2249C"/>
    <w:rsid w:val="00C264BB"/>
    <w:rsid w:val="00C41CA7"/>
    <w:rsid w:val="00C55D3D"/>
    <w:rsid w:val="00C56CE1"/>
    <w:rsid w:val="00C61FEB"/>
    <w:rsid w:val="00C63A46"/>
    <w:rsid w:val="00C661EE"/>
    <w:rsid w:val="00C677A3"/>
    <w:rsid w:val="00C708E9"/>
    <w:rsid w:val="00C73FCC"/>
    <w:rsid w:val="00C7453D"/>
    <w:rsid w:val="00C758A6"/>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0E21"/>
    <w:rsid w:val="00DB34D1"/>
    <w:rsid w:val="00DB7D02"/>
    <w:rsid w:val="00DC396A"/>
    <w:rsid w:val="00DD4E1A"/>
    <w:rsid w:val="00DE060E"/>
    <w:rsid w:val="00DE551A"/>
    <w:rsid w:val="00DE62A0"/>
    <w:rsid w:val="00DF4AB0"/>
    <w:rsid w:val="00DF5C54"/>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7746"/>
    <w:rsid w:val="00EC35EF"/>
    <w:rsid w:val="00ED1518"/>
    <w:rsid w:val="00ED2D7A"/>
    <w:rsid w:val="00ED49F5"/>
    <w:rsid w:val="00EE697B"/>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9514B6"/>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916DF4"/>
    <w:rPr>
      <w:color w:val="605E5C"/>
      <w:shd w:val="clear" w:color="auto" w:fill="E1DFDD"/>
    </w:rPr>
  </w:style>
  <w:style w:type="paragraph" w:styleId="Revision">
    <w:name w:val="Revision"/>
    <w:hidden/>
    <w:uiPriority w:val="99"/>
    <w:semiHidden/>
    <w:rsid w:val="008B18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yclescheme.co.uk/retail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pp.workplaceextras.com/employee-register/0f1a352?step2=EmployeeDetai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yclescheme.co.uk/help/contact-us?utm_source=knowledge-base&amp;utm_medium=web-page&amp;utm_campaign=how-to-contact-us&amp;_gl=1*217r7k*_ga*MTUyMzc2ODcyMy4xNzAwMjE1MDE4*_ga_EFSG8D0TYX*MTczOTUzOTk1Ni44LjAuMTczOTUzOTk1Ni42MC4wLj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workplaceextras.com/employee-register/0f1a352?step2=EmployeeDetai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bhnetwork.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umbriafire.gov.uk"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1353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9335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2025-02-17T10:36:00Z</cp:lastPrinted>
  <dcterms:created xsi:type="dcterms:W3CDTF">2025-02-18T11:26:00Z</dcterms:created>
  <dcterms:modified xsi:type="dcterms:W3CDTF">2025-04-25T08:36:00Z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