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56C6333"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E6CE"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4C86B46B" w:rsidR="00282847" w:rsidRPr="00D362E1" w:rsidRDefault="00D362E1" w:rsidP="00835F95">
                            <w:pPr>
                              <w:pStyle w:val="Heading2"/>
                              <w:rPr>
                                <w:sz w:val="28"/>
                                <w:szCs w:val="20"/>
                              </w:rPr>
                            </w:pPr>
                            <w:r w:rsidRPr="00D362E1">
                              <w:rPr>
                                <w:sz w:val="36"/>
                                <w:szCs w:val="24"/>
                              </w:rPr>
                              <w:t>Strategic Operational Manager Working Arrangements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4C86B46B" w:rsidR="00282847" w:rsidRPr="00D362E1" w:rsidRDefault="00D362E1" w:rsidP="00835F95">
                      <w:pPr>
                        <w:pStyle w:val="Heading2"/>
                        <w:rPr>
                          <w:sz w:val="28"/>
                          <w:szCs w:val="20"/>
                        </w:rPr>
                      </w:pPr>
                      <w:r w:rsidRPr="00D362E1">
                        <w:rPr>
                          <w:sz w:val="36"/>
                          <w:szCs w:val="24"/>
                        </w:rPr>
                        <w:t>Strategic Operational Manager Working Arrangements</w:t>
                      </w:r>
                    </w:p>
                  </w:txbxContent>
                </v:textbox>
              </v:shape>
            </w:pict>
          </mc:Fallback>
        </mc:AlternateContent>
      </w:r>
      <w:r w:rsidR="00D362E1">
        <w:rPr>
          <w:noProof/>
        </w:rPr>
        <w:t>CFRS</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tbl>
      <w:tblPr>
        <w:tblStyle w:val="TableGrid"/>
        <w:tblW w:w="0" w:type="auto"/>
        <w:tblCellMar>
          <w:top w:w="108" w:type="dxa"/>
          <w:bottom w:w="108" w:type="dxa"/>
        </w:tblCellMar>
        <w:tblLook w:val="04A0" w:firstRow="1" w:lastRow="0" w:firstColumn="1" w:lastColumn="0" w:noHBand="0" w:noVBand="1"/>
      </w:tblPr>
      <w:tblGrid>
        <w:gridCol w:w="4248"/>
        <w:gridCol w:w="5946"/>
      </w:tblGrid>
      <w:tr w:rsidR="00D362E1" w:rsidRPr="00874F11" w14:paraId="32A8F86F" w14:textId="77777777" w:rsidTr="006F122F">
        <w:tc>
          <w:tcPr>
            <w:tcW w:w="4248" w:type="dxa"/>
          </w:tcPr>
          <w:p w14:paraId="1214B847" w14:textId="77777777" w:rsidR="00D362E1" w:rsidRPr="00874F11" w:rsidRDefault="00D362E1" w:rsidP="006F122F">
            <w:pPr>
              <w:pStyle w:val="SubHead"/>
              <w:rPr>
                <w:rFonts w:ascii="Arial" w:hAnsi="Arial" w:cs="Arial"/>
                <w:bCs/>
                <w:sz w:val="24"/>
                <w:szCs w:val="24"/>
              </w:rPr>
            </w:pPr>
            <w:r w:rsidRPr="00874F11">
              <w:rPr>
                <w:rFonts w:ascii="Arial" w:hAnsi="Arial" w:cs="Arial"/>
                <w:bCs/>
                <w:sz w:val="24"/>
                <w:szCs w:val="24"/>
              </w:rPr>
              <w:t>Approved By</w:t>
            </w:r>
          </w:p>
        </w:tc>
        <w:tc>
          <w:tcPr>
            <w:tcW w:w="5946" w:type="dxa"/>
          </w:tcPr>
          <w:p w14:paraId="3FEE43B9" w14:textId="77777777" w:rsidR="00D362E1" w:rsidRPr="00874F11" w:rsidRDefault="00D362E1" w:rsidP="006F122F">
            <w:pPr>
              <w:pStyle w:val="SubHead"/>
              <w:rPr>
                <w:rFonts w:ascii="Arial" w:hAnsi="Arial" w:cs="Arial"/>
                <w:b w:val="0"/>
                <w:bCs/>
                <w:sz w:val="24"/>
                <w:szCs w:val="24"/>
              </w:rPr>
            </w:pPr>
            <w:r>
              <w:rPr>
                <w:rFonts w:ascii="Arial" w:hAnsi="Arial" w:cs="Arial"/>
                <w:b w:val="0"/>
                <w:bCs/>
                <w:sz w:val="24"/>
                <w:szCs w:val="24"/>
              </w:rPr>
              <w:t>SLT</w:t>
            </w:r>
          </w:p>
        </w:tc>
      </w:tr>
      <w:tr w:rsidR="00D362E1" w:rsidRPr="00874F11" w14:paraId="3B7354C4" w14:textId="77777777" w:rsidTr="006F122F">
        <w:tc>
          <w:tcPr>
            <w:tcW w:w="4248" w:type="dxa"/>
          </w:tcPr>
          <w:p w14:paraId="174F8734" w14:textId="77777777" w:rsidR="00D362E1" w:rsidRPr="00874F11" w:rsidRDefault="00D362E1" w:rsidP="006F122F">
            <w:pPr>
              <w:pStyle w:val="SubHead"/>
              <w:rPr>
                <w:rFonts w:ascii="Arial" w:hAnsi="Arial" w:cs="Arial"/>
                <w:bCs/>
                <w:sz w:val="24"/>
                <w:szCs w:val="24"/>
              </w:rPr>
            </w:pPr>
            <w:r w:rsidRPr="00874F11">
              <w:rPr>
                <w:rFonts w:ascii="Arial" w:hAnsi="Arial" w:cs="Arial"/>
                <w:bCs/>
                <w:sz w:val="24"/>
                <w:szCs w:val="24"/>
              </w:rPr>
              <w:t>Approved Date</w:t>
            </w:r>
          </w:p>
        </w:tc>
        <w:tc>
          <w:tcPr>
            <w:tcW w:w="5946" w:type="dxa"/>
          </w:tcPr>
          <w:p w14:paraId="6102974D" w14:textId="77777777" w:rsidR="00D362E1" w:rsidRPr="00874F11" w:rsidRDefault="00D362E1" w:rsidP="006F122F">
            <w:pPr>
              <w:pStyle w:val="SubHead"/>
              <w:rPr>
                <w:rFonts w:ascii="Arial" w:hAnsi="Arial" w:cs="Arial"/>
                <w:b w:val="0"/>
                <w:bCs/>
                <w:sz w:val="24"/>
                <w:szCs w:val="24"/>
              </w:rPr>
            </w:pPr>
            <w:r>
              <w:rPr>
                <w:rFonts w:ascii="Arial" w:hAnsi="Arial" w:cs="Arial"/>
                <w:b w:val="0"/>
                <w:bCs/>
                <w:sz w:val="24"/>
                <w:szCs w:val="24"/>
              </w:rPr>
              <w:t>January 2022</w:t>
            </w:r>
          </w:p>
        </w:tc>
      </w:tr>
      <w:tr w:rsidR="00D362E1" w:rsidRPr="00874F11" w14:paraId="5447C113" w14:textId="77777777" w:rsidTr="006F122F">
        <w:tc>
          <w:tcPr>
            <w:tcW w:w="4248" w:type="dxa"/>
          </w:tcPr>
          <w:p w14:paraId="5287BD57" w14:textId="77777777" w:rsidR="00D362E1" w:rsidRPr="00874F11" w:rsidRDefault="00D362E1" w:rsidP="006F122F">
            <w:pPr>
              <w:pStyle w:val="SubHead"/>
              <w:rPr>
                <w:rFonts w:ascii="Arial" w:hAnsi="Arial" w:cs="Arial"/>
                <w:bCs/>
                <w:sz w:val="24"/>
                <w:szCs w:val="24"/>
              </w:rPr>
            </w:pPr>
            <w:r w:rsidRPr="00874F11">
              <w:rPr>
                <w:rFonts w:ascii="Arial" w:hAnsi="Arial" w:cs="Arial"/>
                <w:bCs/>
                <w:sz w:val="24"/>
                <w:szCs w:val="24"/>
              </w:rPr>
              <w:t>Policy Applies To</w:t>
            </w:r>
          </w:p>
        </w:tc>
        <w:tc>
          <w:tcPr>
            <w:tcW w:w="5946" w:type="dxa"/>
          </w:tcPr>
          <w:p w14:paraId="3C77A027" w14:textId="77777777" w:rsidR="00D362E1" w:rsidRPr="00D970BD" w:rsidRDefault="00D362E1" w:rsidP="006F122F">
            <w:pPr>
              <w:pStyle w:val="SubHead"/>
              <w:rPr>
                <w:rFonts w:ascii="Arial" w:hAnsi="Arial" w:cs="Arial"/>
                <w:b w:val="0"/>
                <w:bCs/>
                <w:sz w:val="24"/>
                <w:szCs w:val="24"/>
              </w:rPr>
            </w:pPr>
            <w:r>
              <w:rPr>
                <w:rFonts w:ascii="Arial" w:hAnsi="Arial" w:cs="Arial"/>
                <w:b w:val="0"/>
                <w:bCs/>
                <w:sz w:val="24"/>
              </w:rPr>
              <w:t xml:space="preserve">All </w:t>
            </w:r>
            <w:r w:rsidRPr="00D970BD">
              <w:rPr>
                <w:rFonts w:ascii="Arial" w:hAnsi="Arial" w:cs="Arial"/>
                <w:b w:val="0"/>
                <w:bCs/>
                <w:sz w:val="24"/>
              </w:rPr>
              <w:t>Gold and Grey Book CFRS managers, working on Strategic Operational Gold Rotas and Continuous Duty Systems</w:t>
            </w:r>
          </w:p>
        </w:tc>
      </w:tr>
    </w:tbl>
    <w:p w14:paraId="251DA2F9" w14:textId="77777777" w:rsidR="003E2C80" w:rsidRDefault="003E2C80" w:rsidP="003E2C80">
      <w:pPr>
        <w:pStyle w:val="SubHead"/>
        <w:rPr>
          <w:rFonts w:ascii="Arial" w:hAnsi="Arial" w:cs="Arial"/>
          <w:bCs/>
          <w:sz w:val="24"/>
        </w:rPr>
      </w:pPr>
    </w:p>
    <w:tbl>
      <w:tblPr>
        <w:tblStyle w:val="TableGrid"/>
        <w:tblW w:w="0" w:type="auto"/>
        <w:tblCellMar>
          <w:top w:w="108" w:type="dxa"/>
          <w:bottom w:w="108" w:type="dxa"/>
        </w:tblCellMar>
        <w:tblLook w:val="04A0" w:firstRow="1" w:lastRow="0" w:firstColumn="1" w:lastColumn="0" w:noHBand="0" w:noVBand="1"/>
      </w:tblPr>
      <w:tblGrid>
        <w:gridCol w:w="4248"/>
        <w:gridCol w:w="5946"/>
      </w:tblGrid>
      <w:tr w:rsidR="00B52A1D" w:rsidRPr="00874F11" w14:paraId="4E961EE0" w14:textId="77777777" w:rsidTr="00B52A1D">
        <w:tc>
          <w:tcPr>
            <w:tcW w:w="4248" w:type="dxa"/>
            <w:shd w:val="clear" w:color="auto" w:fill="BB1822" w:themeFill="background2"/>
          </w:tcPr>
          <w:p w14:paraId="66327B61" w14:textId="77777777" w:rsidR="00B52A1D" w:rsidRPr="00B52A1D" w:rsidRDefault="00B52A1D" w:rsidP="006F122F">
            <w:pPr>
              <w:pStyle w:val="SubHead"/>
              <w:rPr>
                <w:rFonts w:ascii="Arial" w:hAnsi="Arial" w:cs="Arial"/>
                <w:bCs/>
                <w:color w:val="FFFFFF" w:themeColor="background1"/>
                <w:sz w:val="24"/>
                <w:szCs w:val="24"/>
              </w:rPr>
            </w:pPr>
          </w:p>
        </w:tc>
        <w:tc>
          <w:tcPr>
            <w:tcW w:w="5946" w:type="dxa"/>
            <w:shd w:val="clear" w:color="auto" w:fill="BB1822" w:themeFill="background2"/>
          </w:tcPr>
          <w:p w14:paraId="39B42256" w14:textId="77777777" w:rsidR="00B52A1D" w:rsidRPr="00B52A1D" w:rsidRDefault="00B52A1D" w:rsidP="006F122F">
            <w:pPr>
              <w:pStyle w:val="SubHead"/>
              <w:jc w:val="center"/>
              <w:rPr>
                <w:rFonts w:ascii="Arial" w:hAnsi="Arial" w:cs="Arial"/>
                <w:bCs/>
                <w:color w:val="FFFFFF" w:themeColor="background1"/>
                <w:sz w:val="24"/>
                <w:szCs w:val="24"/>
              </w:rPr>
            </w:pPr>
            <w:r w:rsidRPr="00B52A1D">
              <w:rPr>
                <w:rFonts w:ascii="Arial" w:hAnsi="Arial" w:cs="Arial"/>
                <w:bCs/>
                <w:color w:val="FFFFFF" w:themeColor="background1"/>
                <w:sz w:val="24"/>
                <w:szCs w:val="24"/>
              </w:rPr>
              <w:t>Name and Job Title</w:t>
            </w:r>
          </w:p>
        </w:tc>
      </w:tr>
      <w:tr w:rsidR="00B52A1D" w:rsidRPr="00874F11" w14:paraId="7A73AC2B" w14:textId="77777777" w:rsidTr="006F122F">
        <w:tc>
          <w:tcPr>
            <w:tcW w:w="4248" w:type="dxa"/>
          </w:tcPr>
          <w:p w14:paraId="702B44D9" w14:textId="77777777" w:rsidR="00B52A1D" w:rsidRPr="00874F11" w:rsidRDefault="00B52A1D" w:rsidP="006F122F">
            <w:pPr>
              <w:pStyle w:val="SubHead"/>
              <w:rPr>
                <w:rFonts w:ascii="Arial" w:hAnsi="Arial" w:cs="Arial"/>
                <w:bCs/>
                <w:sz w:val="24"/>
                <w:szCs w:val="24"/>
              </w:rPr>
            </w:pPr>
            <w:r w:rsidRPr="00874F11">
              <w:rPr>
                <w:rFonts w:ascii="Arial" w:hAnsi="Arial" w:cs="Arial"/>
                <w:bCs/>
                <w:sz w:val="24"/>
                <w:szCs w:val="24"/>
              </w:rPr>
              <w:t>Responsible Group Manager</w:t>
            </w:r>
          </w:p>
        </w:tc>
        <w:tc>
          <w:tcPr>
            <w:tcW w:w="5946" w:type="dxa"/>
          </w:tcPr>
          <w:p w14:paraId="46FD31FE" w14:textId="1DE9401D" w:rsidR="00B52A1D" w:rsidRPr="00874F11" w:rsidRDefault="00B52A1D" w:rsidP="006F122F">
            <w:pPr>
              <w:pStyle w:val="SubHead"/>
              <w:rPr>
                <w:rFonts w:ascii="Arial" w:hAnsi="Arial" w:cs="Arial"/>
                <w:b w:val="0"/>
                <w:bCs/>
                <w:sz w:val="24"/>
                <w:szCs w:val="24"/>
              </w:rPr>
            </w:pPr>
            <w:r>
              <w:rPr>
                <w:rFonts w:ascii="Arial" w:hAnsi="Arial" w:cs="Arial"/>
                <w:b w:val="0"/>
                <w:bCs/>
                <w:sz w:val="24"/>
                <w:szCs w:val="24"/>
              </w:rPr>
              <w:t>Assistant</w:t>
            </w:r>
            <w:r>
              <w:rPr>
                <w:rFonts w:ascii="Arial" w:hAnsi="Arial" w:cs="Arial"/>
                <w:b w:val="0"/>
                <w:bCs/>
                <w:sz w:val="24"/>
                <w:szCs w:val="24"/>
              </w:rPr>
              <w:t xml:space="preserve"> Chief Fire Officer</w:t>
            </w:r>
          </w:p>
        </w:tc>
      </w:tr>
      <w:tr w:rsidR="00B52A1D" w:rsidRPr="00874F11" w14:paraId="08DFB991" w14:textId="77777777" w:rsidTr="006F122F">
        <w:tc>
          <w:tcPr>
            <w:tcW w:w="4248" w:type="dxa"/>
          </w:tcPr>
          <w:p w14:paraId="42A0F817" w14:textId="77777777" w:rsidR="00B52A1D" w:rsidRPr="00874F11" w:rsidRDefault="00B52A1D" w:rsidP="006F122F">
            <w:pPr>
              <w:pStyle w:val="SubHead"/>
              <w:rPr>
                <w:rFonts w:ascii="Arial" w:hAnsi="Arial" w:cs="Arial"/>
                <w:bCs/>
                <w:sz w:val="24"/>
                <w:szCs w:val="24"/>
              </w:rPr>
            </w:pPr>
            <w:r w:rsidRPr="00874F11">
              <w:rPr>
                <w:rFonts w:ascii="Arial" w:hAnsi="Arial" w:cs="Arial"/>
                <w:bCs/>
                <w:sz w:val="24"/>
                <w:szCs w:val="24"/>
              </w:rPr>
              <w:t>Person responsible for monitoring day-to-day compliance</w:t>
            </w:r>
          </w:p>
        </w:tc>
        <w:tc>
          <w:tcPr>
            <w:tcW w:w="5946" w:type="dxa"/>
          </w:tcPr>
          <w:p w14:paraId="345A579C" w14:textId="3110915B" w:rsidR="00B52A1D" w:rsidRPr="00874F11" w:rsidRDefault="00B52A1D" w:rsidP="006F122F">
            <w:pPr>
              <w:pStyle w:val="SubHead"/>
              <w:rPr>
                <w:rFonts w:ascii="Arial" w:hAnsi="Arial" w:cs="Arial"/>
                <w:b w:val="0"/>
                <w:bCs/>
                <w:sz w:val="24"/>
                <w:szCs w:val="24"/>
              </w:rPr>
            </w:pPr>
            <w:r>
              <w:rPr>
                <w:rFonts w:ascii="Arial" w:hAnsi="Arial" w:cs="Arial"/>
                <w:b w:val="0"/>
                <w:bCs/>
                <w:sz w:val="24"/>
                <w:szCs w:val="24"/>
              </w:rPr>
              <w:t>Assistant</w:t>
            </w:r>
            <w:r>
              <w:rPr>
                <w:rFonts w:ascii="Arial" w:hAnsi="Arial" w:cs="Arial"/>
                <w:b w:val="0"/>
                <w:bCs/>
                <w:sz w:val="24"/>
                <w:szCs w:val="24"/>
              </w:rPr>
              <w:t xml:space="preserve"> Chief Fire Officer</w:t>
            </w:r>
          </w:p>
        </w:tc>
      </w:tr>
      <w:tr w:rsidR="00B52A1D" w:rsidRPr="00874F11" w14:paraId="3222E387" w14:textId="77777777" w:rsidTr="006F122F">
        <w:tc>
          <w:tcPr>
            <w:tcW w:w="4248" w:type="dxa"/>
          </w:tcPr>
          <w:p w14:paraId="09DEA481" w14:textId="77777777" w:rsidR="00B52A1D" w:rsidRPr="00874F11" w:rsidRDefault="00B52A1D" w:rsidP="006F122F">
            <w:pPr>
              <w:pStyle w:val="SubHead"/>
              <w:rPr>
                <w:rFonts w:ascii="Arial" w:hAnsi="Arial" w:cs="Arial"/>
                <w:bCs/>
                <w:sz w:val="24"/>
                <w:szCs w:val="24"/>
              </w:rPr>
            </w:pPr>
            <w:r w:rsidRPr="00874F11">
              <w:rPr>
                <w:rFonts w:ascii="Arial" w:hAnsi="Arial" w:cs="Arial"/>
                <w:bCs/>
                <w:sz w:val="24"/>
                <w:szCs w:val="24"/>
              </w:rPr>
              <w:t>Person responsible for reviewing the policy</w:t>
            </w:r>
          </w:p>
        </w:tc>
        <w:tc>
          <w:tcPr>
            <w:tcW w:w="5946" w:type="dxa"/>
          </w:tcPr>
          <w:p w14:paraId="3D599E83" w14:textId="1CAF3CA4" w:rsidR="00B52A1D" w:rsidRPr="00874F11" w:rsidRDefault="00B52A1D" w:rsidP="006F122F">
            <w:pPr>
              <w:pStyle w:val="SubHead"/>
              <w:rPr>
                <w:rFonts w:ascii="Arial" w:hAnsi="Arial" w:cs="Arial"/>
                <w:b w:val="0"/>
                <w:bCs/>
                <w:sz w:val="24"/>
                <w:szCs w:val="24"/>
              </w:rPr>
            </w:pPr>
            <w:r>
              <w:rPr>
                <w:rFonts w:ascii="Arial" w:hAnsi="Arial" w:cs="Arial"/>
                <w:b w:val="0"/>
                <w:bCs/>
                <w:sz w:val="24"/>
                <w:szCs w:val="24"/>
              </w:rPr>
              <w:t>Assistant</w:t>
            </w:r>
            <w:r>
              <w:rPr>
                <w:rFonts w:ascii="Arial" w:hAnsi="Arial" w:cs="Arial"/>
                <w:b w:val="0"/>
                <w:bCs/>
                <w:sz w:val="24"/>
                <w:szCs w:val="24"/>
              </w:rPr>
              <w:t xml:space="preserve"> Chief Fire Officer</w:t>
            </w:r>
          </w:p>
        </w:tc>
      </w:tr>
    </w:tbl>
    <w:p w14:paraId="5B00C2F3" w14:textId="77777777" w:rsidR="00B52A1D" w:rsidRDefault="00B52A1D" w:rsidP="003E2C80">
      <w:pPr>
        <w:pStyle w:val="SubHead"/>
        <w:rPr>
          <w:rFonts w:ascii="Arial" w:hAnsi="Arial" w:cs="Arial"/>
          <w:bCs/>
          <w:sz w:val="24"/>
        </w:rPr>
      </w:pPr>
    </w:p>
    <w:tbl>
      <w:tblPr>
        <w:tblStyle w:val="TableGrid"/>
        <w:tblW w:w="0" w:type="auto"/>
        <w:tblCellMar>
          <w:top w:w="108" w:type="dxa"/>
          <w:bottom w:w="108" w:type="dxa"/>
        </w:tblCellMar>
        <w:tblLook w:val="04A0" w:firstRow="1" w:lastRow="0" w:firstColumn="1" w:lastColumn="0" w:noHBand="0" w:noVBand="1"/>
      </w:tblPr>
      <w:tblGrid>
        <w:gridCol w:w="4248"/>
        <w:gridCol w:w="5946"/>
      </w:tblGrid>
      <w:tr w:rsidR="00B52A1D" w:rsidRPr="00874F11" w14:paraId="03321391" w14:textId="77777777" w:rsidTr="00B52A1D">
        <w:tc>
          <w:tcPr>
            <w:tcW w:w="10194" w:type="dxa"/>
            <w:gridSpan w:val="2"/>
            <w:shd w:val="clear" w:color="auto" w:fill="BB1822" w:themeFill="background2"/>
          </w:tcPr>
          <w:p w14:paraId="0ED10178" w14:textId="77777777" w:rsidR="00B52A1D" w:rsidRPr="00874F11" w:rsidRDefault="00B52A1D" w:rsidP="006F122F">
            <w:pPr>
              <w:pStyle w:val="SubHead"/>
              <w:jc w:val="center"/>
              <w:rPr>
                <w:rFonts w:ascii="Arial" w:hAnsi="Arial" w:cs="Arial"/>
                <w:bCs/>
                <w:sz w:val="24"/>
                <w:szCs w:val="24"/>
              </w:rPr>
            </w:pPr>
            <w:r w:rsidRPr="00B52A1D">
              <w:rPr>
                <w:rFonts w:ascii="Arial" w:hAnsi="Arial" w:cs="Arial"/>
                <w:bCs/>
                <w:color w:val="FFFFFF" w:themeColor="background1"/>
                <w:sz w:val="24"/>
                <w:szCs w:val="24"/>
              </w:rPr>
              <w:t>Version Control</w:t>
            </w:r>
          </w:p>
        </w:tc>
      </w:tr>
      <w:tr w:rsidR="00B52A1D" w:rsidRPr="00874F11" w14:paraId="143AF33C" w14:textId="77777777" w:rsidTr="006F122F">
        <w:tc>
          <w:tcPr>
            <w:tcW w:w="4248" w:type="dxa"/>
          </w:tcPr>
          <w:p w14:paraId="33255348" w14:textId="77777777" w:rsidR="00B52A1D" w:rsidRPr="00874F11" w:rsidRDefault="00B52A1D" w:rsidP="006F122F">
            <w:pPr>
              <w:pStyle w:val="SubHead"/>
              <w:rPr>
                <w:rFonts w:ascii="Arial" w:hAnsi="Arial" w:cs="Arial"/>
                <w:bCs/>
                <w:sz w:val="24"/>
                <w:szCs w:val="24"/>
              </w:rPr>
            </w:pPr>
            <w:r w:rsidRPr="00874F11">
              <w:rPr>
                <w:rFonts w:ascii="Arial" w:hAnsi="Arial" w:cs="Arial"/>
                <w:bCs/>
                <w:sz w:val="24"/>
                <w:szCs w:val="24"/>
              </w:rPr>
              <w:t>Version Number</w:t>
            </w:r>
          </w:p>
        </w:tc>
        <w:tc>
          <w:tcPr>
            <w:tcW w:w="5946" w:type="dxa"/>
          </w:tcPr>
          <w:p w14:paraId="39F8AE13" w14:textId="77777777" w:rsidR="00B52A1D" w:rsidRPr="00874F11" w:rsidRDefault="00B52A1D" w:rsidP="006F122F">
            <w:pPr>
              <w:pStyle w:val="SubHead"/>
              <w:rPr>
                <w:rFonts w:ascii="Arial" w:hAnsi="Arial" w:cs="Arial"/>
                <w:b w:val="0"/>
                <w:sz w:val="24"/>
                <w:szCs w:val="24"/>
              </w:rPr>
            </w:pPr>
            <w:r>
              <w:rPr>
                <w:rFonts w:ascii="Arial" w:hAnsi="Arial" w:cs="Arial"/>
                <w:b w:val="0"/>
                <w:sz w:val="24"/>
                <w:szCs w:val="24"/>
              </w:rPr>
              <w:t>8</w:t>
            </w:r>
          </w:p>
        </w:tc>
      </w:tr>
      <w:tr w:rsidR="00B52A1D" w:rsidRPr="00874F11" w14:paraId="4B7E13B3" w14:textId="77777777" w:rsidTr="006F122F">
        <w:tc>
          <w:tcPr>
            <w:tcW w:w="4248" w:type="dxa"/>
          </w:tcPr>
          <w:p w14:paraId="34920097" w14:textId="77777777" w:rsidR="00B52A1D" w:rsidRPr="00874F11" w:rsidRDefault="00B52A1D" w:rsidP="006F122F">
            <w:pPr>
              <w:pStyle w:val="SubHead"/>
              <w:rPr>
                <w:rFonts w:ascii="Arial" w:hAnsi="Arial" w:cs="Arial"/>
                <w:bCs/>
                <w:sz w:val="24"/>
                <w:szCs w:val="24"/>
              </w:rPr>
            </w:pPr>
            <w:r w:rsidRPr="00874F11">
              <w:rPr>
                <w:rFonts w:ascii="Arial" w:hAnsi="Arial" w:cs="Arial"/>
                <w:bCs/>
                <w:sz w:val="24"/>
                <w:szCs w:val="24"/>
              </w:rPr>
              <w:t>Status</w:t>
            </w:r>
          </w:p>
        </w:tc>
        <w:tc>
          <w:tcPr>
            <w:tcW w:w="5946" w:type="dxa"/>
          </w:tcPr>
          <w:p w14:paraId="602D78BF" w14:textId="77777777" w:rsidR="00B52A1D" w:rsidRPr="00874F11" w:rsidRDefault="00B52A1D" w:rsidP="006F122F">
            <w:pPr>
              <w:pStyle w:val="SubHead"/>
              <w:rPr>
                <w:rFonts w:ascii="Arial" w:hAnsi="Arial" w:cs="Arial"/>
                <w:b w:val="0"/>
                <w:bCs/>
                <w:sz w:val="24"/>
                <w:szCs w:val="24"/>
              </w:rPr>
            </w:pPr>
            <w:r>
              <w:rPr>
                <w:rFonts w:ascii="Arial" w:hAnsi="Arial" w:cs="Arial"/>
                <w:b w:val="0"/>
                <w:bCs/>
                <w:sz w:val="24"/>
                <w:szCs w:val="24"/>
              </w:rPr>
              <w:t>Live</w:t>
            </w:r>
          </w:p>
        </w:tc>
      </w:tr>
      <w:tr w:rsidR="00B52A1D" w:rsidRPr="00874F11" w14:paraId="24BD386D" w14:textId="77777777" w:rsidTr="006F122F">
        <w:tc>
          <w:tcPr>
            <w:tcW w:w="4248" w:type="dxa"/>
          </w:tcPr>
          <w:p w14:paraId="3EC68B7A" w14:textId="77777777" w:rsidR="00B52A1D" w:rsidRPr="00874F11" w:rsidRDefault="00B52A1D" w:rsidP="006F122F">
            <w:pPr>
              <w:pStyle w:val="SubHead"/>
              <w:rPr>
                <w:rFonts w:ascii="Arial" w:hAnsi="Arial" w:cs="Arial"/>
                <w:bCs/>
                <w:sz w:val="24"/>
                <w:szCs w:val="24"/>
              </w:rPr>
            </w:pPr>
            <w:r w:rsidRPr="00874F11">
              <w:rPr>
                <w:rFonts w:ascii="Arial" w:hAnsi="Arial" w:cs="Arial"/>
                <w:bCs/>
                <w:sz w:val="24"/>
                <w:szCs w:val="24"/>
              </w:rPr>
              <w:t>Date</w:t>
            </w:r>
          </w:p>
        </w:tc>
        <w:tc>
          <w:tcPr>
            <w:tcW w:w="5946" w:type="dxa"/>
          </w:tcPr>
          <w:p w14:paraId="61E18BCE" w14:textId="77777777" w:rsidR="00B52A1D" w:rsidRPr="00874F11" w:rsidRDefault="00B52A1D" w:rsidP="006F122F">
            <w:pPr>
              <w:pStyle w:val="SubHead"/>
              <w:rPr>
                <w:rFonts w:ascii="Arial" w:hAnsi="Arial" w:cs="Arial"/>
                <w:b w:val="0"/>
                <w:sz w:val="24"/>
                <w:szCs w:val="24"/>
              </w:rPr>
            </w:pPr>
            <w:r>
              <w:rPr>
                <w:rFonts w:ascii="Arial" w:hAnsi="Arial" w:cs="Arial"/>
                <w:b w:val="0"/>
                <w:sz w:val="24"/>
                <w:szCs w:val="24"/>
              </w:rPr>
              <w:t>01 April 2022</w:t>
            </w:r>
          </w:p>
        </w:tc>
      </w:tr>
      <w:tr w:rsidR="00B52A1D" w:rsidRPr="00874F11" w14:paraId="069DC7A1" w14:textId="77777777" w:rsidTr="006F122F">
        <w:tc>
          <w:tcPr>
            <w:tcW w:w="4248" w:type="dxa"/>
          </w:tcPr>
          <w:p w14:paraId="0A2A783B" w14:textId="77777777" w:rsidR="00B52A1D" w:rsidRPr="00874F11" w:rsidRDefault="00B52A1D" w:rsidP="006F122F">
            <w:pPr>
              <w:pStyle w:val="SubHead"/>
              <w:rPr>
                <w:rFonts w:ascii="Arial" w:hAnsi="Arial" w:cs="Arial"/>
                <w:bCs/>
                <w:sz w:val="24"/>
                <w:szCs w:val="24"/>
              </w:rPr>
            </w:pPr>
            <w:r w:rsidRPr="00874F11">
              <w:rPr>
                <w:rFonts w:ascii="Arial" w:hAnsi="Arial" w:cs="Arial"/>
                <w:bCs/>
                <w:sz w:val="24"/>
                <w:szCs w:val="24"/>
              </w:rPr>
              <w:t>Planned Review Date</w:t>
            </w:r>
          </w:p>
        </w:tc>
        <w:tc>
          <w:tcPr>
            <w:tcW w:w="5946" w:type="dxa"/>
          </w:tcPr>
          <w:p w14:paraId="01F09C03" w14:textId="77777777" w:rsidR="00B52A1D" w:rsidRPr="00874F11" w:rsidRDefault="00B52A1D" w:rsidP="006F122F">
            <w:pPr>
              <w:pStyle w:val="SubHead"/>
              <w:rPr>
                <w:rFonts w:ascii="Arial" w:hAnsi="Arial" w:cs="Arial"/>
                <w:b w:val="0"/>
                <w:sz w:val="24"/>
                <w:szCs w:val="24"/>
              </w:rPr>
            </w:pPr>
            <w:r>
              <w:rPr>
                <w:rFonts w:ascii="Arial" w:hAnsi="Arial" w:cs="Arial"/>
                <w:b w:val="0"/>
                <w:sz w:val="24"/>
                <w:szCs w:val="24"/>
              </w:rPr>
              <w:t>November 2022</w:t>
            </w:r>
          </w:p>
        </w:tc>
      </w:tr>
    </w:tbl>
    <w:p w14:paraId="654A74C9" w14:textId="77777777" w:rsidR="00B52A1D" w:rsidRDefault="00B52A1D"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3329C9FD" w14:textId="77777777" w:rsidR="00B52A1D" w:rsidRDefault="00B52A1D">
      <w:pPr>
        <w:spacing w:line="240" w:lineRule="auto"/>
        <w:rPr>
          <w:rFonts w:ascii="Arial Black" w:hAnsi="Arial Black" w:cs="Arial"/>
          <w:bCs/>
          <w:color w:val="0082AA"/>
          <w:sz w:val="28"/>
          <w:szCs w:val="28"/>
          <w:lang w:eastAsia="en-US"/>
        </w:rPr>
      </w:pPr>
      <w:r>
        <w:rPr>
          <w:rFonts w:ascii="Arial Black" w:hAnsi="Arial Black" w:cs="Arial"/>
          <w:b/>
          <w:bCs/>
          <w:color w:val="0082AA"/>
          <w:szCs w:val="28"/>
        </w:rPr>
        <w:br w:type="page"/>
      </w:r>
    </w:p>
    <w:p w14:paraId="7CC24DFE" w14:textId="2B7E9BBF" w:rsidR="00B52A1D" w:rsidRPr="00833179" w:rsidRDefault="00B52A1D" w:rsidP="00B52A1D">
      <w:pPr>
        <w:pStyle w:val="Heading3"/>
        <w:spacing w:line="240" w:lineRule="auto"/>
        <w:contextualSpacing/>
      </w:pPr>
      <w:r w:rsidRPr="00833179">
        <w:lastRenderedPageBreak/>
        <w:t>Introduction</w:t>
      </w:r>
      <w:r>
        <w:tab/>
      </w:r>
    </w:p>
    <w:p w14:paraId="453710F8" w14:textId="77777777" w:rsidR="00B52A1D" w:rsidRPr="00833179" w:rsidRDefault="00B52A1D" w:rsidP="00B52A1D">
      <w:pPr>
        <w:pStyle w:val="SubHead"/>
        <w:contextualSpacing/>
        <w:jc w:val="both"/>
        <w:rPr>
          <w:rFonts w:ascii="Arial" w:hAnsi="Arial" w:cs="Arial"/>
          <w:bCs/>
          <w:sz w:val="24"/>
          <w:szCs w:val="24"/>
        </w:rPr>
      </w:pPr>
    </w:p>
    <w:p w14:paraId="6C92D222" w14:textId="20D9744E" w:rsidR="00B52A1D" w:rsidRDefault="00B52A1D" w:rsidP="00B52A1D">
      <w:pPr>
        <w:spacing w:line="240" w:lineRule="auto"/>
        <w:contextualSpacing/>
        <w:jc w:val="both"/>
        <w:rPr>
          <w:rFonts w:cs="Arial"/>
        </w:rPr>
      </w:pPr>
      <w:r w:rsidRPr="00370F4C">
        <w:rPr>
          <w:rFonts w:cs="Arial"/>
        </w:rPr>
        <w:t xml:space="preserve">Cumbria Fire and Rescue Service (CFRS) utilises Strategic Operational Manager (Gold) </w:t>
      </w:r>
      <w:r>
        <w:rPr>
          <w:rFonts w:cs="Arial"/>
        </w:rPr>
        <w:t>Incident</w:t>
      </w:r>
      <w:r>
        <w:rPr>
          <w:rFonts w:cs="Arial"/>
        </w:rPr>
        <w:t xml:space="preserve"> </w:t>
      </w:r>
      <w:r>
        <w:rPr>
          <w:rFonts w:cs="Arial"/>
        </w:rPr>
        <w:t xml:space="preserve">Command Level 4 / Multi-Agency Gold rotas to </w:t>
      </w:r>
      <w:r w:rsidRPr="00370F4C">
        <w:rPr>
          <w:rFonts w:cs="Arial"/>
        </w:rPr>
        <w:t xml:space="preserve">provide </w:t>
      </w:r>
      <w:r>
        <w:rPr>
          <w:rFonts w:cs="Arial"/>
        </w:rPr>
        <w:t xml:space="preserve">an </w:t>
      </w:r>
      <w:r w:rsidRPr="00370F4C">
        <w:rPr>
          <w:rFonts w:cs="Arial"/>
        </w:rPr>
        <w:t>effective response on a 24/7 basis and to support regional and national resilience under the national and regional mutual aid arrangements</w:t>
      </w:r>
      <w:r>
        <w:rPr>
          <w:rFonts w:cs="Arial"/>
        </w:rPr>
        <w:t xml:space="preserve">.  </w:t>
      </w:r>
      <w:r w:rsidRPr="00370F4C">
        <w:rPr>
          <w:rFonts w:cs="Arial"/>
        </w:rPr>
        <w:t xml:space="preserve"> </w:t>
      </w:r>
    </w:p>
    <w:p w14:paraId="57944C99" w14:textId="77777777" w:rsidR="00B52A1D" w:rsidRDefault="00B52A1D" w:rsidP="00B52A1D">
      <w:pPr>
        <w:spacing w:line="240" w:lineRule="auto"/>
        <w:contextualSpacing/>
        <w:jc w:val="both"/>
        <w:rPr>
          <w:rFonts w:cs="Arial"/>
        </w:rPr>
      </w:pPr>
    </w:p>
    <w:p w14:paraId="6F4B794C" w14:textId="300EABE3" w:rsidR="00B52A1D" w:rsidRDefault="00B52A1D" w:rsidP="00B52A1D">
      <w:pPr>
        <w:spacing w:line="240" w:lineRule="auto"/>
        <w:contextualSpacing/>
        <w:jc w:val="both"/>
        <w:rPr>
          <w:rFonts w:cs="Arial"/>
        </w:rPr>
      </w:pPr>
      <w:r>
        <w:rPr>
          <w:rFonts w:cs="Arial"/>
        </w:rPr>
        <w:t>T</w:t>
      </w:r>
      <w:r w:rsidRPr="00370F4C">
        <w:rPr>
          <w:rFonts w:cs="Arial"/>
        </w:rPr>
        <w:t>he</w:t>
      </w:r>
      <w:r>
        <w:rPr>
          <w:rFonts w:cs="Arial"/>
        </w:rPr>
        <w:t xml:space="preserve"> Service will maintain Strategic </w:t>
      </w:r>
      <w:r w:rsidRPr="00370F4C">
        <w:rPr>
          <w:rFonts w:cs="Arial"/>
        </w:rPr>
        <w:t xml:space="preserve">Gold </w:t>
      </w:r>
      <w:r>
        <w:rPr>
          <w:rFonts w:cs="Arial"/>
        </w:rPr>
        <w:t>Rotas (appendix A) to provide response to and resilience for major incidents. Strategic Area Managers will work the Level 4 / Multi Agency Gold rota, with Principal Officers working a Continuous Duty System to ensure there are always sufficient officers available to support a Strategic Coordination Group (SCG) or fulfil other strategic operational command requirements in the event of a significant incident.</w:t>
      </w:r>
    </w:p>
    <w:p w14:paraId="3D795225" w14:textId="77777777" w:rsidR="00B52A1D" w:rsidRDefault="00B52A1D" w:rsidP="00B52A1D">
      <w:pPr>
        <w:spacing w:line="240" w:lineRule="auto"/>
        <w:ind w:left="720" w:hanging="720"/>
        <w:contextualSpacing/>
        <w:jc w:val="both"/>
        <w:rPr>
          <w:rFonts w:cs="Arial"/>
        </w:rPr>
      </w:pPr>
    </w:p>
    <w:p w14:paraId="725120E4" w14:textId="0F077BA4" w:rsidR="00B52A1D" w:rsidRDefault="00B52A1D" w:rsidP="00B52A1D">
      <w:pPr>
        <w:spacing w:line="240" w:lineRule="auto"/>
        <w:contextualSpacing/>
        <w:jc w:val="both"/>
        <w:rPr>
          <w:rFonts w:cs="Arial"/>
        </w:rPr>
      </w:pPr>
      <w:r>
        <w:rPr>
          <w:rFonts w:eastAsia="Calibri" w:cs="Arial"/>
          <w:lang w:eastAsia="en-US"/>
        </w:rPr>
        <w:t>Due to the limited number of Strategic Managers, they have a county wide geographical base as detailed within this Policy and contracts of employment.</w:t>
      </w:r>
    </w:p>
    <w:p w14:paraId="2D67C7A9" w14:textId="77777777" w:rsidR="00B52A1D" w:rsidRPr="00370F4C" w:rsidRDefault="00B52A1D" w:rsidP="00B52A1D">
      <w:pPr>
        <w:spacing w:line="240" w:lineRule="auto"/>
        <w:contextualSpacing/>
        <w:jc w:val="both"/>
        <w:rPr>
          <w:rFonts w:cs="Arial"/>
        </w:rPr>
      </w:pPr>
    </w:p>
    <w:p w14:paraId="0163698D" w14:textId="77777777" w:rsidR="00B52A1D" w:rsidRPr="00960D0C" w:rsidRDefault="00B52A1D" w:rsidP="00B52A1D">
      <w:pPr>
        <w:pStyle w:val="Heading3"/>
      </w:pPr>
      <w:r w:rsidRPr="00960D0C">
        <w:t>Scope</w:t>
      </w:r>
    </w:p>
    <w:p w14:paraId="5DD500D1" w14:textId="77777777" w:rsidR="00B52A1D" w:rsidRPr="00833179" w:rsidRDefault="00B52A1D" w:rsidP="00B52A1D">
      <w:pPr>
        <w:spacing w:line="240" w:lineRule="auto"/>
        <w:contextualSpacing/>
        <w:jc w:val="both"/>
        <w:rPr>
          <w:rFonts w:cs="Arial"/>
        </w:rPr>
      </w:pPr>
    </w:p>
    <w:p w14:paraId="4F8D2D6A" w14:textId="25BD056F" w:rsidR="00B52A1D" w:rsidRPr="00FD3EA9" w:rsidRDefault="00B52A1D" w:rsidP="00B52A1D">
      <w:pPr>
        <w:spacing w:line="240" w:lineRule="auto"/>
        <w:contextualSpacing/>
        <w:jc w:val="both"/>
        <w:rPr>
          <w:rFonts w:cs="Arial"/>
        </w:rPr>
      </w:pPr>
      <w:r w:rsidRPr="00FD3EA9">
        <w:rPr>
          <w:rFonts w:cs="Arial"/>
        </w:rPr>
        <w:t xml:space="preserve">This policy covers </w:t>
      </w:r>
      <w:r>
        <w:rPr>
          <w:rFonts w:cs="Arial"/>
        </w:rPr>
        <w:t xml:space="preserve">strategic Gold and </w:t>
      </w:r>
      <w:r w:rsidRPr="00FD3EA9">
        <w:rPr>
          <w:rFonts w:cs="Arial"/>
        </w:rPr>
        <w:t xml:space="preserve">Grey Book CFRS </w:t>
      </w:r>
      <w:r>
        <w:rPr>
          <w:rFonts w:cs="Arial"/>
        </w:rPr>
        <w:t>managers, working on Strategic Operational Gold Rotas and Continuous Duty Systems.</w:t>
      </w:r>
    </w:p>
    <w:p w14:paraId="7614187E" w14:textId="77777777" w:rsidR="00B52A1D" w:rsidRPr="00833179" w:rsidRDefault="00B52A1D" w:rsidP="00B52A1D">
      <w:pPr>
        <w:spacing w:line="240" w:lineRule="auto"/>
        <w:contextualSpacing/>
        <w:jc w:val="both"/>
        <w:rPr>
          <w:rFonts w:cs="Arial"/>
        </w:rPr>
      </w:pPr>
    </w:p>
    <w:p w14:paraId="7BFC8392" w14:textId="77777777" w:rsidR="00B52A1D" w:rsidRPr="00960D0C" w:rsidRDefault="00B52A1D" w:rsidP="00B52A1D">
      <w:pPr>
        <w:pStyle w:val="Heading3"/>
      </w:pPr>
      <w:r w:rsidRPr="00960D0C">
        <w:t>Principles</w:t>
      </w:r>
    </w:p>
    <w:p w14:paraId="2150642A" w14:textId="77777777" w:rsidR="00B52A1D" w:rsidRDefault="00B52A1D" w:rsidP="00B52A1D">
      <w:pPr>
        <w:spacing w:line="240" w:lineRule="auto"/>
        <w:contextualSpacing/>
        <w:jc w:val="both"/>
        <w:rPr>
          <w:rFonts w:cs="Arial"/>
        </w:rPr>
      </w:pPr>
    </w:p>
    <w:p w14:paraId="241F56EE" w14:textId="664BD3CF" w:rsidR="00B52A1D" w:rsidRDefault="00B52A1D" w:rsidP="00B52A1D">
      <w:pPr>
        <w:spacing w:line="240" w:lineRule="auto"/>
        <w:contextualSpacing/>
        <w:jc w:val="both"/>
        <w:rPr>
          <w:rFonts w:cs="Arial"/>
        </w:rPr>
      </w:pPr>
      <w:r w:rsidRPr="00370F4C">
        <w:rPr>
          <w:rFonts w:cs="Arial"/>
        </w:rPr>
        <w:t xml:space="preserve">CFRS requires its </w:t>
      </w:r>
      <w:r>
        <w:rPr>
          <w:rFonts w:cs="Arial"/>
        </w:rPr>
        <w:t>Strategic</w:t>
      </w:r>
      <w:r w:rsidRPr="00370F4C">
        <w:rPr>
          <w:rFonts w:cs="Arial"/>
        </w:rPr>
        <w:t xml:space="preserve"> Managers to be operationally competent to ensure the appropriate level of incident command can be maintained within the county. </w:t>
      </w:r>
    </w:p>
    <w:p w14:paraId="6156C0BA" w14:textId="77777777" w:rsidR="00B52A1D" w:rsidRDefault="00B52A1D" w:rsidP="00B52A1D">
      <w:pPr>
        <w:spacing w:line="240" w:lineRule="auto"/>
        <w:contextualSpacing/>
        <w:jc w:val="both"/>
        <w:rPr>
          <w:rFonts w:cs="Arial"/>
        </w:rPr>
      </w:pPr>
    </w:p>
    <w:p w14:paraId="00DF9ADA" w14:textId="514F9E70" w:rsidR="00B52A1D" w:rsidRPr="00930ED6" w:rsidRDefault="00B52A1D" w:rsidP="00825DDF">
      <w:pPr>
        <w:spacing w:line="240" w:lineRule="auto"/>
        <w:contextualSpacing/>
        <w:jc w:val="both"/>
        <w:rPr>
          <w:rFonts w:cs="Arial"/>
        </w:rPr>
      </w:pPr>
      <w:r w:rsidRPr="00930ED6">
        <w:rPr>
          <w:rFonts w:cs="Arial"/>
        </w:rPr>
        <w:t xml:space="preserve">Strategic Managers </w:t>
      </w:r>
      <w:r>
        <w:rPr>
          <w:rFonts w:cs="Arial"/>
        </w:rPr>
        <w:t>must</w:t>
      </w:r>
      <w:r w:rsidRPr="00930ED6">
        <w:rPr>
          <w:rFonts w:cs="Arial"/>
        </w:rPr>
        <w:t xml:space="preserve"> maintain their competencies as Strategic Gold Commanders and may be called upon at any time to respond to major incidents locally, regionally and nationally</w:t>
      </w:r>
      <w:r>
        <w:rPr>
          <w:rFonts w:cs="Arial"/>
        </w:rPr>
        <w:t>, in line with the CFRS Incident Command Policy</w:t>
      </w:r>
      <w:r w:rsidRPr="00930ED6">
        <w:rPr>
          <w:rFonts w:cs="Arial"/>
        </w:rPr>
        <w:t>.</w:t>
      </w:r>
    </w:p>
    <w:p w14:paraId="1D443FD1" w14:textId="77777777" w:rsidR="00B52A1D" w:rsidRDefault="00B52A1D" w:rsidP="00B52A1D">
      <w:pPr>
        <w:spacing w:line="240" w:lineRule="auto"/>
        <w:contextualSpacing/>
        <w:jc w:val="both"/>
      </w:pPr>
    </w:p>
    <w:p w14:paraId="5E50E541" w14:textId="77777777" w:rsidR="00B52A1D" w:rsidRPr="00B52A1D" w:rsidRDefault="00B52A1D" w:rsidP="00B52A1D">
      <w:pPr>
        <w:pStyle w:val="Heading3"/>
      </w:pPr>
      <w:hyperlink r:id="rId11" w:tgtFrame="_new" w:tooltip="View this document (eLibrary ref #52402)" w:history="1">
        <w:r w:rsidRPr="00B52A1D">
          <w:rPr>
            <w:rStyle w:val="Hyperlink"/>
            <w:rFonts w:ascii="Arial Black" w:hAnsi="Arial Black"/>
            <w:b/>
            <w:sz w:val="28"/>
            <w:u w:val="none"/>
          </w:rPr>
          <w:t>Procedure</w:t>
        </w:r>
      </w:hyperlink>
    </w:p>
    <w:p w14:paraId="7FC47412" w14:textId="77777777" w:rsidR="00B52A1D" w:rsidRDefault="00B52A1D" w:rsidP="00B52A1D">
      <w:pPr>
        <w:spacing w:line="240" w:lineRule="auto"/>
        <w:jc w:val="both"/>
        <w:rPr>
          <w:rFonts w:cs="Arial"/>
        </w:rPr>
      </w:pPr>
    </w:p>
    <w:p w14:paraId="70F3ED72" w14:textId="18F41F18" w:rsidR="00B52A1D" w:rsidRPr="00B52A1D" w:rsidRDefault="00B52A1D" w:rsidP="00B52A1D">
      <w:pPr>
        <w:spacing w:line="240" w:lineRule="auto"/>
        <w:jc w:val="both"/>
        <w:rPr>
          <w:rFonts w:cs="Arial"/>
        </w:rPr>
      </w:pPr>
      <w:r w:rsidRPr="00B52A1D">
        <w:rPr>
          <w:rFonts w:cs="Arial"/>
        </w:rPr>
        <w:t xml:space="preserve">Strategic Managers will respond, as appropriate, to emergency incidents, SCG meetings and all other appropriate local, regional and national incidents in accordance with the CFRS mobilising arrangements, </w:t>
      </w:r>
      <w:r w:rsidR="00825DDF">
        <w:rPr>
          <w:rFonts w:cs="Arial"/>
        </w:rPr>
        <w:t>council</w:t>
      </w:r>
      <w:r w:rsidRPr="00B52A1D">
        <w:rPr>
          <w:rFonts w:cs="Arial"/>
        </w:rPr>
        <w:t xml:space="preserve"> Emergency Response procedures and national mutual aid arrangements. All Strategic Managers must maintain a mobile contact unless on annual leave.</w:t>
      </w:r>
    </w:p>
    <w:p w14:paraId="58E92360" w14:textId="77777777" w:rsidR="00B52A1D" w:rsidRDefault="00B52A1D" w:rsidP="00B52A1D">
      <w:pPr>
        <w:spacing w:line="240" w:lineRule="auto"/>
        <w:contextualSpacing/>
        <w:jc w:val="both"/>
        <w:rPr>
          <w:rFonts w:cs="Arial"/>
        </w:rPr>
      </w:pPr>
    </w:p>
    <w:p w14:paraId="02FF088C" w14:textId="77777777" w:rsidR="00B52A1D" w:rsidRDefault="00B52A1D" w:rsidP="00B52A1D">
      <w:pPr>
        <w:spacing w:line="240" w:lineRule="auto"/>
        <w:contextualSpacing/>
        <w:jc w:val="both"/>
        <w:rPr>
          <w:rFonts w:cs="Arial"/>
          <w:b/>
        </w:rPr>
      </w:pPr>
    </w:p>
    <w:p w14:paraId="0CF7A134" w14:textId="77777777" w:rsidR="00B52A1D" w:rsidRDefault="00B52A1D" w:rsidP="00B52A1D">
      <w:pPr>
        <w:spacing w:line="240" w:lineRule="auto"/>
        <w:contextualSpacing/>
        <w:jc w:val="both"/>
        <w:rPr>
          <w:rFonts w:cs="Arial"/>
          <w:b/>
        </w:rPr>
      </w:pPr>
      <w:r>
        <w:rPr>
          <w:rFonts w:cs="Arial"/>
          <w:b/>
        </w:rPr>
        <w:t>Principal Officer Continuous Duty System (Level 4 Command)</w:t>
      </w:r>
    </w:p>
    <w:p w14:paraId="12F0002B" w14:textId="77777777" w:rsidR="00B52A1D" w:rsidRPr="00FD613E" w:rsidRDefault="00B52A1D" w:rsidP="00B52A1D">
      <w:pPr>
        <w:spacing w:line="240" w:lineRule="auto"/>
        <w:contextualSpacing/>
        <w:jc w:val="both"/>
        <w:rPr>
          <w:rFonts w:cs="Arial"/>
          <w:b/>
        </w:rPr>
      </w:pPr>
    </w:p>
    <w:p w14:paraId="1C43258A" w14:textId="77777777" w:rsidR="00B52A1D" w:rsidRPr="00B52A1D" w:rsidRDefault="00B52A1D" w:rsidP="00B52A1D">
      <w:pPr>
        <w:spacing w:line="240" w:lineRule="auto"/>
        <w:jc w:val="both"/>
        <w:rPr>
          <w:rFonts w:cs="Arial"/>
          <w:bCs/>
        </w:rPr>
      </w:pPr>
      <w:r w:rsidRPr="00B52A1D">
        <w:rPr>
          <w:rFonts w:cs="Arial"/>
        </w:rPr>
        <w:t xml:space="preserve">Principal Officers will work a continuous duty system to ensure that, unless on annual leave, they are always available. </w:t>
      </w:r>
      <w:r w:rsidRPr="00B52A1D">
        <w:rPr>
          <w:rFonts w:cs="Arial"/>
          <w:bCs/>
        </w:rPr>
        <w:t>Principal Officers are therefore deemed as ‘on-duty’, in a stand-by capacity, at all times beyond normal positive hours so they can be contacted in connection with significant operational incidents and, depending on the scale and/or nature of the incident, will determine when attendance is required in accordance with section 4.4 below.</w:t>
      </w:r>
    </w:p>
    <w:p w14:paraId="5703E501" w14:textId="77777777" w:rsidR="00B52A1D" w:rsidRPr="00FD613E" w:rsidRDefault="00B52A1D" w:rsidP="00B52A1D">
      <w:pPr>
        <w:pStyle w:val="ListParagraph"/>
        <w:spacing w:line="240" w:lineRule="auto"/>
        <w:jc w:val="both"/>
        <w:rPr>
          <w:rFonts w:cs="Arial"/>
        </w:rPr>
      </w:pPr>
    </w:p>
    <w:p w14:paraId="4B752C98" w14:textId="77777777" w:rsidR="00B52A1D" w:rsidRPr="00FD613E" w:rsidRDefault="00B52A1D" w:rsidP="00B52A1D">
      <w:pPr>
        <w:pStyle w:val="ListParagraph"/>
        <w:spacing w:line="240" w:lineRule="auto"/>
        <w:ind w:left="0"/>
        <w:jc w:val="both"/>
        <w:rPr>
          <w:rFonts w:cs="Arial"/>
          <w:b/>
        </w:rPr>
      </w:pPr>
      <w:r w:rsidRPr="00FD613E">
        <w:rPr>
          <w:rFonts w:cs="Arial"/>
          <w:b/>
        </w:rPr>
        <w:t xml:space="preserve">Strategic Gold </w:t>
      </w:r>
      <w:r>
        <w:rPr>
          <w:rFonts w:cs="Arial"/>
          <w:b/>
        </w:rPr>
        <w:t xml:space="preserve">Level 4 / Multi Agency </w:t>
      </w:r>
      <w:r w:rsidRPr="00FD613E">
        <w:rPr>
          <w:rFonts w:cs="Arial"/>
          <w:b/>
        </w:rPr>
        <w:t>Rota</w:t>
      </w:r>
    </w:p>
    <w:p w14:paraId="693CA17A" w14:textId="77777777" w:rsidR="00B52A1D" w:rsidRDefault="00B52A1D" w:rsidP="00B52A1D">
      <w:pPr>
        <w:pStyle w:val="ListParagraph"/>
        <w:spacing w:line="240" w:lineRule="auto"/>
        <w:ind w:left="0"/>
        <w:jc w:val="both"/>
        <w:rPr>
          <w:rFonts w:cs="Arial"/>
        </w:rPr>
      </w:pPr>
    </w:p>
    <w:p w14:paraId="560BB27D" w14:textId="77777777" w:rsidR="00B52A1D" w:rsidRPr="00B52A1D" w:rsidRDefault="00B52A1D" w:rsidP="00B52A1D">
      <w:pPr>
        <w:spacing w:line="240" w:lineRule="auto"/>
        <w:jc w:val="both"/>
        <w:rPr>
          <w:rFonts w:cs="Arial"/>
        </w:rPr>
      </w:pPr>
      <w:r w:rsidRPr="00B52A1D">
        <w:rPr>
          <w:rFonts w:cs="Arial"/>
        </w:rPr>
        <w:lastRenderedPageBreak/>
        <w:t>Strategic Area Managers will cover the Strategic Gold Level 4 Rota on a 1 in 3 basis. To ensure an appropriate level of response in the event of a significant incident, one Area Manager will also always be available on 2</w:t>
      </w:r>
      <w:r w:rsidRPr="00B52A1D">
        <w:rPr>
          <w:rFonts w:cs="Arial"/>
          <w:vertAlign w:val="superscript"/>
        </w:rPr>
        <w:t>nd</w:t>
      </w:r>
      <w:r w:rsidRPr="00B52A1D">
        <w:rPr>
          <w:rFonts w:cs="Arial"/>
        </w:rPr>
        <w:t xml:space="preserve"> call arrangements. This will ensure that, with the exception of annual leave arrangements detailed below, an Area Manager is available to support a significant incident within a defined period of time.  At all times the Level 4 rota will maintain 2 Strategic Managers; One on 1</w:t>
      </w:r>
      <w:r w:rsidRPr="00B52A1D">
        <w:rPr>
          <w:rFonts w:cs="Arial"/>
          <w:vertAlign w:val="superscript"/>
        </w:rPr>
        <w:t>st</w:t>
      </w:r>
      <w:r w:rsidRPr="00B52A1D">
        <w:rPr>
          <w:rFonts w:cs="Arial"/>
        </w:rPr>
        <w:t xml:space="preserve"> call and the other on 2</w:t>
      </w:r>
      <w:r w:rsidRPr="00B52A1D">
        <w:rPr>
          <w:rFonts w:cs="Arial"/>
          <w:vertAlign w:val="superscript"/>
        </w:rPr>
        <w:t>nd</w:t>
      </w:r>
      <w:r w:rsidRPr="00B52A1D">
        <w:rPr>
          <w:rFonts w:cs="Arial"/>
        </w:rPr>
        <w:t xml:space="preserve"> call.</w:t>
      </w:r>
    </w:p>
    <w:p w14:paraId="19CB5834" w14:textId="77777777" w:rsidR="00B52A1D" w:rsidRDefault="00B52A1D" w:rsidP="00B52A1D">
      <w:pPr>
        <w:pStyle w:val="ListParagraph"/>
        <w:spacing w:line="240" w:lineRule="auto"/>
        <w:jc w:val="both"/>
        <w:rPr>
          <w:rFonts w:cs="Arial"/>
        </w:rPr>
      </w:pPr>
    </w:p>
    <w:p w14:paraId="290380DC" w14:textId="77777777" w:rsidR="00B52A1D" w:rsidRPr="00B52A1D" w:rsidRDefault="00B52A1D" w:rsidP="00B52A1D">
      <w:pPr>
        <w:spacing w:line="240" w:lineRule="auto"/>
        <w:jc w:val="both"/>
        <w:rPr>
          <w:rFonts w:cs="Arial"/>
        </w:rPr>
      </w:pPr>
      <w:r w:rsidRPr="00B52A1D">
        <w:rPr>
          <w:rFonts w:cs="Arial"/>
        </w:rPr>
        <w:t>On the Strategic Gold Level 4 Rota, Area Managers will be rostered for 1</w:t>
      </w:r>
      <w:r w:rsidRPr="00B52A1D">
        <w:rPr>
          <w:rFonts w:cs="Arial"/>
          <w:vertAlign w:val="superscript"/>
        </w:rPr>
        <w:t>st</w:t>
      </w:r>
      <w:r w:rsidRPr="00B52A1D">
        <w:rPr>
          <w:rFonts w:cs="Arial"/>
        </w:rPr>
        <w:t xml:space="preserve"> or 2</w:t>
      </w:r>
      <w:r w:rsidRPr="00B52A1D">
        <w:rPr>
          <w:rFonts w:cs="Arial"/>
          <w:vertAlign w:val="superscript"/>
        </w:rPr>
        <w:t>nd</w:t>
      </w:r>
      <w:r w:rsidRPr="00B52A1D">
        <w:rPr>
          <w:rFonts w:cs="Arial"/>
        </w:rPr>
        <w:t xml:space="preserve"> call or off duty. Off duty means Managers will work positive hours, generally Monday to Friday, but are classed as off duty for operational response. At all times (out-with annual leave) Strategic Managers must be available within the timescales detailed below: </w:t>
      </w:r>
    </w:p>
    <w:p w14:paraId="067333B8" w14:textId="77777777" w:rsidR="00B52A1D" w:rsidRPr="00ED7122" w:rsidRDefault="00B52A1D" w:rsidP="00B52A1D">
      <w:pPr>
        <w:pStyle w:val="ListParagraph"/>
        <w:spacing w:line="240" w:lineRule="auto"/>
        <w:jc w:val="both"/>
        <w:rPr>
          <w:rFonts w:cs="Arial"/>
        </w:rPr>
      </w:pPr>
    </w:p>
    <w:tbl>
      <w:tblPr>
        <w:tblStyle w:val="TableGrid"/>
        <w:tblW w:w="10097" w:type="dxa"/>
        <w:tblInd w:w="392" w:type="dxa"/>
        <w:tblCellMar>
          <w:top w:w="108" w:type="dxa"/>
          <w:bottom w:w="108" w:type="dxa"/>
        </w:tblCellMar>
        <w:tblLook w:val="04A0" w:firstRow="1" w:lastRow="0" w:firstColumn="1" w:lastColumn="0" w:noHBand="0" w:noVBand="1"/>
      </w:tblPr>
      <w:tblGrid>
        <w:gridCol w:w="3685"/>
        <w:gridCol w:w="6412"/>
      </w:tblGrid>
      <w:tr w:rsidR="00B52A1D" w14:paraId="6B7D8B19" w14:textId="77777777" w:rsidTr="006F122F">
        <w:tc>
          <w:tcPr>
            <w:tcW w:w="3685" w:type="dxa"/>
            <w:shd w:val="clear" w:color="auto" w:fill="BFBFBF" w:themeFill="background1" w:themeFillShade="BF"/>
          </w:tcPr>
          <w:p w14:paraId="0C93CB60" w14:textId="77777777" w:rsidR="00B52A1D" w:rsidRPr="00ED7122" w:rsidRDefault="00B52A1D" w:rsidP="00B52A1D">
            <w:pPr>
              <w:spacing w:line="240" w:lineRule="auto"/>
              <w:contextualSpacing/>
              <w:jc w:val="both"/>
              <w:rPr>
                <w:rFonts w:cs="Arial"/>
                <w:b/>
              </w:rPr>
            </w:pPr>
            <w:r w:rsidRPr="00ED7122">
              <w:rPr>
                <w:rFonts w:cs="Arial"/>
                <w:b/>
              </w:rPr>
              <w:t>Call</w:t>
            </w:r>
          </w:p>
        </w:tc>
        <w:tc>
          <w:tcPr>
            <w:tcW w:w="6412" w:type="dxa"/>
            <w:shd w:val="clear" w:color="auto" w:fill="BFBFBF" w:themeFill="background1" w:themeFillShade="BF"/>
          </w:tcPr>
          <w:p w14:paraId="1CEDD7D3" w14:textId="77777777" w:rsidR="00B52A1D" w:rsidRPr="00ED7122" w:rsidRDefault="00B52A1D" w:rsidP="00B52A1D">
            <w:pPr>
              <w:spacing w:line="240" w:lineRule="auto"/>
              <w:contextualSpacing/>
              <w:jc w:val="both"/>
              <w:rPr>
                <w:rFonts w:cs="Arial"/>
                <w:b/>
              </w:rPr>
            </w:pPr>
            <w:r w:rsidRPr="00ED7122">
              <w:rPr>
                <w:rFonts w:cs="Arial"/>
                <w:b/>
              </w:rPr>
              <w:t>Response</w:t>
            </w:r>
          </w:p>
        </w:tc>
      </w:tr>
      <w:tr w:rsidR="00B52A1D" w14:paraId="12583618" w14:textId="77777777" w:rsidTr="006F122F">
        <w:tc>
          <w:tcPr>
            <w:tcW w:w="3685" w:type="dxa"/>
          </w:tcPr>
          <w:p w14:paraId="4A4E28EE" w14:textId="77777777" w:rsidR="00B52A1D" w:rsidRDefault="00B52A1D" w:rsidP="00B52A1D">
            <w:pPr>
              <w:spacing w:line="240" w:lineRule="auto"/>
              <w:contextualSpacing/>
              <w:jc w:val="both"/>
              <w:rPr>
                <w:rFonts w:cs="Arial"/>
              </w:rPr>
            </w:pPr>
            <w:r>
              <w:rPr>
                <w:rFonts w:cs="Arial"/>
              </w:rPr>
              <w:t>1</w:t>
            </w:r>
            <w:r w:rsidRPr="002B2D77">
              <w:rPr>
                <w:rFonts w:cs="Arial"/>
                <w:vertAlign w:val="superscript"/>
              </w:rPr>
              <w:t>st</w:t>
            </w:r>
          </w:p>
        </w:tc>
        <w:tc>
          <w:tcPr>
            <w:tcW w:w="6412" w:type="dxa"/>
          </w:tcPr>
          <w:p w14:paraId="33850D33" w14:textId="77777777" w:rsidR="00B52A1D" w:rsidRDefault="00B52A1D" w:rsidP="00B52A1D">
            <w:pPr>
              <w:spacing w:line="240" w:lineRule="auto"/>
              <w:contextualSpacing/>
              <w:jc w:val="both"/>
              <w:rPr>
                <w:rFonts w:cs="Arial"/>
              </w:rPr>
            </w:pPr>
            <w:r>
              <w:rPr>
                <w:rFonts w:cs="Arial"/>
              </w:rPr>
              <w:t>Phone and respond immediately and maintain 90-minute availability from Penrith (SCG)</w:t>
            </w:r>
          </w:p>
        </w:tc>
      </w:tr>
      <w:tr w:rsidR="00B52A1D" w14:paraId="6F906CFD" w14:textId="77777777" w:rsidTr="006F122F">
        <w:tc>
          <w:tcPr>
            <w:tcW w:w="3685" w:type="dxa"/>
          </w:tcPr>
          <w:p w14:paraId="5D200504" w14:textId="77777777" w:rsidR="00B52A1D" w:rsidRDefault="00B52A1D" w:rsidP="00B52A1D">
            <w:pPr>
              <w:spacing w:line="240" w:lineRule="auto"/>
              <w:contextualSpacing/>
              <w:jc w:val="both"/>
              <w:rPr>
                <w:rFonts w:cs="Arial"/>
              </w:rPr>
            </w:pPr>
            <w:r>
              <w:rPr>
                <w:rFonts w:cs="Arial"/>
              </w:rPr>
              <w:t>2</w:t>
            </w:r>
            <w:r w:rsidRPr="00DE2CE1">
              <w:rPr>
                <w:rFonts w:cs="Arial"/>
                <w:vertAlign w:val="superscript"/>
              </w:rPr>
              <w:t>nd</w:t>
            </w:r>
            <w:r>
              <w:rPr>
                <w:rFonts w:cs="Arial"/>
                <w:vertAlign w:val="superscript"/>
              </w:rPr>
              <w:t xml:space="preserve"> </w:t>
            </w:r>
            <w:r>
              <w:rPr>
                <w:rFonts w:cs="Arial"/>
              </w:rPr>
              <w:t>and continuous duty officers</w:t>
            </w:r>
            <w:r>
              <w:rPr>
                <w:rFonts w:cs="Arial"/>
                <w:vertAlign w:val="superscript"/>
              </w:rPr>
              <w:t xml:space="preserve">  </w:t>
            </w:r>
          </w:p>
        </w:tc>
        <w:tc>
          <w:tcPr>
            <w:tcW w:w="6412" w:type="dxa"/>
          </w:tcPr>
          <w:p w14:paraId="306D638A" w14:textId="77777777" w:rsidR="00B52A1D" w:rsidRDefault="00B52A1D" w:rsidP="00B52A1D">
            <w:pPr>
              <w:spacing w:line="240" w:lineRule="auto"/>
              <w:contextualSpacing/>
              <w:jc w:val="both"/>
              <w:rPr>
                <w:rFonts w:cs="Arial"/>
              </w:rPr>
            </w:pPr>
            <w:r>
              <w:rPr>
                <w:rFonts w:cs="Arial"/>
              </w:rPr>
              <w:t xml:space="preserve">Phone immediately and respond according to risk but generally within a maximum timeframe of 8 hours </w:t>
            </w:r>
          </w:p>
        </w:tc>
      </w:tr>
    </w:tbl>
    <w:p w14:paraId="12B2072C" w14:textId="77777777" w:rsidR="00B52A1D" w:rsidRDefault="00B52A1D" w:rsidP="00B52A1D">
      <w:pPr>
        <w:spacing w:line="240" w:lineRule="auto"/>
        <w:ind w:left="284" w:hanging="284"/>
        <w:contextualSpacing/>
        <w:jc w:val="both"/>
        <w:rPr>
          <w:rFonts w:cs="Arial"/>
        </w:rPr>
      </w:pPr>
      <w:r>
        <w:rPr>
          <w:rFonts w:cs="Arial"/>
        </w:rPr>
        <w:tab/>
      </w:r>
    </w:p>
    <w:p w14:paraId="52C9CDC5" w14:textId="77777777" w:rsidR="00B52A1D" w:rsidRPr="00B52A1D" w:rsidRDefault="00B52A1D" w:rsidP="00B52A1D">
      <w:pPr>
        <w:spacing w:line="240" w:lineRule="auto"/>
        <w:jc w:val="both"/>
        <w:rPr>
          <w:rFonts w:cs="Arial"/>
        </w:rPr>
      </w:pPr>
      <w:r w:rsidRPr="00B52A1D">
        <w:rPr>
          <w:rFonts w:cs="Arial"/>
        </w:rPr>
        <w:t>1</w:t>
      </w:r>
      <w:r w:rsidRPr="00B52A1D">
        <w:rPr>
          <w:rFonts w:cs="Arial"/>
          <w:vertAlign w:val="superscript"/>
        </w:rPr>
        <w:t>st</w:t>
      </w:r>
      <w:r w:rsidRPr="00B52A1D">
        <w:rPr>
          <w:rFonts w:cs="Arial"/>
        </w:rPr>
        <w:t xml:space="preserve"> call Gold Managers are required to be able to mobilise immediately and should be able to attend Penrith (for a potential SCG), or the location of a significant incident, within 90 minutes and the 2</w:t>
      </w:r>
      <w:r w:rsidRPr="00B52A1D">
        <w:rPr>
          <w:rFonts w:cs="Arial"/>
          <w:vertAlign w:val="superscript"/>
        </w:rPr>
        <w:t>nd</w:t>
      </w:r>
      <w:r w:rsidRPr="00B52A1D">
        <w:rPr>
          <w:rFonts w:cs="Arial"/>
        </w:rPr>
        <w:t xml:space="preserve"> call Gold / Continuous Duty Officers within 8 hours; this will allow for a minimum</w:t>
      </w:r>
      <w:r w:rsidRPr="00B52A1D">
        <w:rPr>
          <w:rFonts w:cs="Arial"/>
          <w:b/>
        </w:rPr>
        <w:t xml:space="preserve"> </w:t>
      </w:r>
      <w:r w:rsidRPr="00B52A1D">
        <w:rPr>
          <w:rFonts w:cs="Arial"/>
        </w:rPr>
        <w:t xml:space="preserve">of one Strategic Manager to be available immediately to manage an operational incident and for additional strategic managers, including Principal Officers, to be available shortly afterwards. </w:t>
      </w:r>
    </w:p>
    <w:p w14:paraId="22E7CD8B" w14:textId="77777777" w:rsidR="00B52A1D" w:rsidRPr="00CA0890" w:rsidRDefault="00B52A1D" w:rsidP="00B52A1D">
      <w:pPr>
        <w:pStyle w:val="ListParagraph"/>
        <w:spacing w:line="240" w:lineRule="auto"/>
        <w:jc w:val="both"/>
        <w:rPr>
          <w:rFonts w:cs="Arial"/>
        </w:rPr>
      </w:pPr>
      <w:r w:rsidRPr="00CA0890">
        <w:rPr>
          <w:rFonts w:cs="Arial"/>
        </w:rPr>
        <w:t xml:space="preserve"> </w:t>
      </w:r>
    </w:p>
    <w:p w14:paraId="31C51235" w14:textId="601C6257" w:rsidR="00B52A1D" w:rsidRDefault="00B52A1D" w:rsidP="00B52A1D">
      <w:pPr>
        <w:spacing w:line="240" w:lineRule="auto"/>
        <w:contextualSpacing/>
        <w:jc w:val="both"/>
        <w:rPr>
          <w:rFonts w:cs="Arial"/>
        </w:rPr>
      </w:pPr>
      <w:r>
        <w:rPr>
          <w:rFonts w:cs="Arial"/>
        </w:rPr>
        <w:t>Once strategic management of an incident is established,</w:t>
      </w:r>
      <w:r w:rsidRPr="003C2008">
        <w:rPr>
          <w:rFonts w:cs="Arial"/>
        </w:rPr>
        <w:t xml:space="preserve"> </w:t>
      </w:r>
      <w:r>
        <w:rPr>
          <w:rFonts w:cs="Arial"/>
        </w:rPr>
        <w:t>the 1</w:t>
      </w:r>
      <w:r w:rsidRPr="003C2008">
        <w:rPr>
          <w:rFonts w:cs="Arial"/>
          <w:vertAlign w:val="superscript"/>
        </w:rPr>
        <w:t>st</w:t>
      </w:r>
      <w:r>
        <w:rPr>
          <w:rFonts w:cs="Arial"/>
        </w:rPr>
        <w:t xml:space="preserve"> call </w:t>
      </w:r>
      <w:r w:rsidRPr="003C2008">
        <w:rPr>
          <w:rFonts w:cs="Arial"/>
        </w:rPr>
        <w:t xml:space="preserve">manager </w:t>
      </w:r>
      <w:r>
        <w:rPr>
          <w:rFonts w:cs="Arial"/>
        </w:rPr>
        <w:t>will</w:t>
      </w:r>
      <w:r w:rsidRPr="003C2008">
        <w:rPr>
          <w:rFonts w:cs="Arial"/>
        </w:rPr>
        <w:t xml:space="preserve"> man</w:t>
      </w:r>
      <w:r>
        <w:rPr>
          <w:rFonts w:cs="Arial"/>
        </w:rPr>
        <w:t>age any incident for the first 8</w:t>
      </w:r>
      <w:r w:rsidRPr="003C2008">
        <w:rPr>
          <w:rFonts w:cs="Arial"/>
        </w:rPr>
        <w:t xml:space="preserve"> hours,</w:t>
      </w:r>
      <w:r>
        <w:rPr>
          <w:rFonts w:cs="Arial"/>
        </w:rPr>
        <w:t xml:space="preserve"> with immediate phone support available from a Principal Officer and </w:t>
      </w:r>
      <w:r w:rsidRPr="003C2008">
        <w:rPr>
          <w:rFonts w:cs="Arial"/>
        </w:rPr>
        <w:t xml:space="preserve">they will then be replaced by </w:t>
      </w:r>
      <w:r>
        <w:rPr>
          <w:rFonts w:cs="Arial"/>
        </w:rPr>
        <w:t xml:space="preserve">a new </w:t>
      </w:r>
      <w:r w:rsidRPr="003C2008">
        <w:rPr>
          <w:rFonts w:cs="Arial"/>
        </w:rPr>
        <w:t xml:space="preserve">Gold </w:t>
      </w:r>
      <w:r>
        <w:rPr>
          <w:rFonts w:cs="Arial"/>
        </w:rPr>
        <w:t>M</w:t>
      </w:r>
      <w:r w:rsidRPr="003C2008">
        <w:rPr>
          <w:rFonts w:cs="Arial"/>
        </w:rPr>
        <w:t xml:space="preserve">anager for the next </w:t>
      </w:r>
      <w:r>
        <w:rPr>
          <w:rFonts w:cs="Arial"/>
        </w:rPr>
        <w:t>12</w:t>
      </w:r>
      <w:r w:rsidRPr="003C2008">
        <w:rPr>
          <w:rFonts w:cs="Arial"/>
        </w:rPr>
        <w:t xml:space="preserve"> hours. After </w:t>
      </w:r>
      <w:r>
        <w:rPr>
          <w:rFonts w:cs="Arial"/>
        </w:rPr>
        <w:t>that,</w:t>
      </w:r>
      <w:r w:rsidRPr="003C2008">
        <w:rPr>
          <w:rFonts w:cs="Arial"/>
        </w:rPr>
        <w:t xml:space="preserve"> man</w:t>
      </w:r>
      <w:r>
        <w:rPr>
          <w:rFonts w:cs="Arial"/>
        </w:rPr>
        <w:t>a</w:t>
      </w:r>
      <w:r w:rsidRPr="003C2008">
        <w:rPr>
          <w:rFonts w:cs="Arial"/>
        </w:rPr>
        <w:t>gers, if required, will resume duty</w:t>
      </w:r>
      <w:r>
        <w:rPr>
          <w:rFonts w:cs="Arial"/>
        </w:rPr>
        <w:t xml:space="preserve"> based on 12 on, 12 off principle and the</w:t>
      </w:r>
      <w:r w:rsidRPr="003C2008">
        <w:rPr>
          <w:rFonts w:cs="Arial"/>
        </w:rPr>
        <w:t xml:space="preserve"> rota will continue until there is no longer a requirement.</w:t>
      </w:r>
      <w:r>
        <w:rPr>
          <w:rFonts w:cs="Arial"/>
        </w:rPr>
        <w:t xml:space="preserve"> For serious and prolonged protracted incidents, Strategic managers should consider the use of, recall to duty, mutual aid arrangements and / or national resilience support.</w:t>
      </w:r>
    </w:p>
    <w:p w14:paraId="6F7DC9FA" w14:textId="77777777" w:rsidR="00B52A1D" w:rsidRDefault="00B52A1D" w:rsidP="00B52A1D">
      <w:pPr>
        <w:spacing w:line="240" w:lineRule="auto"/>
        <w:contextualSpacing/>
        <w:jc w:val="both"/>
        <w:rPr>
          <w:rFonts w:cs="Arial"/>
        </w:rPr>
      </w:pPr>
    </w:p>
    <w:p w14:paraId="0544483C" w14:textId="47BA6F36" w:rsidR="00B52A1D" w:rsidRPr="00901C34" w:rsidRDefault="00B52A1D" w:rsidP="00B52A1D">
      <w:pPr>
        <w:spacing w:line="240" w:lineRule="auto"/>
        <w:contextualSpacing/>
        <w:jc w:val="both"/>
        <w:rPr>
          <w:rFonts w:cs="Arial"/>
        </w:rPr>
      </w:pPr>
      <w:r w:rsidRPr="00901C34">
        <w:rPr>
          <w:rFonts w:cs="Arial"/>
        </w:rPr>
        <w:t>North West Fire Control is to be kept informed at all times of who are the relevant 1</w:t>
      </w:r>
      <w:r w:rsidRPr="00901C34">
        <w:rPr>
          <w:rFonts w:cs="Arial"/>
          <w:vertAlign w:val="superscript"/>
        </w:rPr>
        <w:t>st</w:t>
      </w:r>
      <w:r w:rsidRPr="00901C34">
        <w:rPr>
          <w:rFonts w:cs="Arial"/>
        </w:rPr>
        <w:t xml:space="preserve"> and 2</w:t>
      </w:r>
      <w:r w:rsidRPr="00901C34">
        <w:rPr>
          <w:rFonts w:cs="Arial"/>
          <w:vertAlign w:val="superscript"/>
        </w:rPr>
        <w:t>nd</w:t>
      </w:r>
      <w:r w:rsidRPr="00901C34">
        <w:rPr>
          <w:rFonts w:cs="Arial"/>
        </w:rPr>
        <w:t xml:space="preserve"> call managers</w:t>
      </w:r>
      <w:r>
        <w:rPr>
          <w:rFonts w:cs="Arial"/>
        </w:rPr>
        <w:t>,</w:t>
      </w:r>
      <w:r w:rsidRPr="00901C34">
        <w:rPr>
          <w:rFonts w:cs="Arial"/>
        </w:rPr>
        <w:t xml:space="preserve"> and the Gartan Strategic Manager rotas must be updated.</w:t>
      </w:r>
    </w:p>
    <w:p w14:paraId="2793D72D" w14:textId="77777777" w:rsidR="00B52A1D" w:rsidRPr="004D5064" w:rsidRDefault="00B52A1D" w:rsidP="00B52A1D">
      <w:pPr>
        <w:spacing w:line="240" w:lineRule="auto"/>
        <w:contextualSpacing/>
        <w:jc w:val="both"/>
        <w:rPr>
          <w:rFonts w:cs="Arial"/>
          <w:b/>
        </w:rPr>
      </w:pPr>
    </w:p>
    <w:p w14:paraId="6DB2A7B8" w14:textId="77777777" w:rsidR="00B52A1D" w:rsidRPr="00B52A1D" w:rsidRDefault="00B52A1D" w:rsidP="00B52A1D">
      <w:pPr>
        <w:pStyle w:val="Heading3"/>
        <w:rPr>
          <w:rStyle w:val="Hyperlink"/>
          <w:rFonts w:ascii="Arial Black" w:hAnsi="Arial Black"/>
          <w:b/>
          <w:sz w:val="28"/>
          <w:u w:val="none"/>
        </w:rPr>
      </w:pPr>
      <w:hyperlink r:id="rId12" w:tgtFrame="_new" w:tooltip="View this document (eLibrary ref #52402)" w:history="1">
        <w:r w:rsidRPr="00B52A1D">
          <w:rPr>
            <w:rStyle w:val="Hyperlink"/>
            <w:rFonts w:ascii="Arial Black" w:hAnsi="Arial Black"/>
            <w:b/>
            <w:sz w:val="28"/>
            <w:u w:val="none"/>
          </w:rPr>
          <w:t>Annual Leave &amp; Public Holiday (PH) Entitlement</w:t>
        </w:r>
      </w:hyperlink>
    </w:p>
    <w:p w14:paraId="79D93DE5" w14:textId="77777777" w:rsidR="00B52A1D" w:rsidRDefault="00B52A1D" w:rsidP="00B52A1D">
      <w:pPr>
        <w:spacing w:line="240" w:lineRule="auto"/>
        <w:contextualSpacing/>
        <w:jc w:val="both"/>
        <w:rPr>
          <w:rStyle w:val="Hyperlink"/>
          <w:rFonts w:ascii="Arial Black" w:hAnsi="Arial Black" w:cs="Arial"/>
          <w:color w:val="0082AA"/>
          <w:sz w:val="28"/>
          <w:szCs w:val="28"/>
        </w:rPr>
      </w:pPr>
    </w:p>
    <w:p w14:paraId="1E28645E" w14:textId="77777777" w:rsidR="00B52A1D" w:rsidRPr="00B52A1D" w:rsidRDefault="00B52A1D" w:rsidP="00B52A1D">
      <w:pPr>
        <w:spacing w:line="240" w:lineRule="auto"/>
        <w:jc w:val="both"/>
        <w:rPr>
          <w:rFonts w:cs="Arial"/>
          <w:lang w:val="en-US" w:eastAsia="en-US"/>
        </w:rPr>
      </w:pPr>
      <w:r w:rsidRPr="00B52A1D">
        <w:rPr>
          <w:rFonts w:cs="Arial"/>
          <w:lang w:val="en-US" w:eastAsia="en-US"/>
        </w:rPr>
        <w:t>Annual leave will run from 1 January to 31 December for all personnel and leave must be taken during the year. In exceptional cases leave may, with the approval of line managers, be carried forward into the next year.  This will not be deemed to apply in normal maternity leave or long-term sickness absence circumstances where arrangements should be discussed with the CFO. Personnel on modified duties, where possible, will take this leave in their period of modified duties before returning to full operational duties.</w:t>
      </w:r>
    </w:p>
    <w:p w14:paraId="0E9F2C77" w14:textId="77777777" w:rsidR="00B52A1D" w:rsidRPr="00B313D6" w:rsidRDefault="00B52A1D" w:rsidP="00B52A1D">
      <w:pPr>
        <w:spacing w:line="240" w:lineRule="auto"/>
        <w:contextualSpacing/>
        <w:jc w:val="both"/>
        <w:rPr>
          <w:rFonts w:cs="Arial"/>
          <w:lang w:val="en-US" w:eastAsia="en-US"/>
        </w:rPr>
      </w:pPr>
    </w:p>
    <w:p w14:paraId="0B797B32" w14:textId="77777777" w:rsidR="00B52A1D" w:rsidRPr="00B52A1D" w:rsidRDefault="00B52A1D" w:rsidP="00B52A1D">
      <w:pPr>
        <w:spacing w:line="240" w:lineRule="auto"/>
        <w:jc w:val="both"/>
        <w:rPr>
          <w:rFonts w:cs="Arial"/>
          <w:lang w:val="en-US" w:eastAsia="en-US"/>
        </w:rPr>
      </w:pPr>
      <w:r w:rsidRPr="00B52A1D">
        <w:rPr>
          <w:rFonts w:cs="Arial"/>
          <w:lang w:val="en-US" w:eastAsia="en-US"/>
        </w:rPr>
        <w:t xml:space="preserve">The leave entitlement of an employee who joins or leaves the Service, or attains five years continuous service, is proportionate to the employee’s service in that year. </w:t>
      </w:r>
    </w:p>
    <w:p w14:paraId="4E77D5D9" w14:textId="77777777" w:rsidR="00B52A1D" w:rsidRPr="00B313D6" w:rsidRDefault="00B52A1D" w:rsidP="00B52A1D">
      <w:pPr>
        <w:tabs>
          <w:tab w:val="num" w:pos="720"/>
        </w:tabs>
        <w:spacing w:line="240" w:lineRule="auto"/>
        <w:ind w:left="709" w:hanging="709"/>
        <w:contextualSpacing/>
        <w:jc w:val="both"/>
        <w:rPr>
          <w:rFonts w:cs="Arial"/>
          <w:lang w:val="en-US" w:eastAsia="en-US"/>
        </w:rPr>
      </w:pPr>
    </w:p>
    <w:p w14:paraId="6653D7DF" w14:textId="77777777" w:rsidR="00B52A1D" w:rsidRPr="00B52A1D" w:rsidRDefault="00B52A1D" w:rsidP="00B52A1D">
      <w:pPr>
        <w:spacing w:line="240" w:lineRule="auto"/>
        <w:jc w:val="both"/>
        <w:rPr>
          <w:rFonts w:cs="Arial"/>
          <w:lang w:val="en-US" w:eastAsia="en-US"/>
        </w:rPr>
      </w:pPr>
      <w:r w:rsidRPr="00B52A1D">
        <w:rPr>
          <w:rFonts w:cs="Arial"/>
          <w:lang w:val="en-US" w:eastAsia="en-US"/>
        </w:rPr>
        <w:t>Leave entitlement and Public Holiday entitlement for Managers on this rota system is:</w:t>
      </w:r>
    </w:p>
    <w:p w14:paraId="398D7162" w14:textId="77777777" w:rsidR="00B52A1D" w:rsidRPr="008D636F" w:rsidRDefault="00B52A1D" w:rsidP="00B52A1D">
      <w:pPr>
        <w:pStyle w:val="ListParagraph"/>
        <w:spacing w:line="240" w:lineRule="auto"/>
        <w:ind w:left="709" w:hanging="709"/>
        <w:jc w:val="both"/>
        <w:rPr>
          <w:rFonts w:cs="Arial"/>
          <w:lang w:val="en-US" w:eastAsia="en-US"/>
        </w:rPr>
      </w:pPr>
    </w:p>
    <w:p w14:paraId="0243A19C" w14:textId="77777777" w:rsidR="00B52A1D" w:rsidRPr="00B52A1D" w:rsidRDefault="00B52A1D" w:rsidP="00B52A1D">
      <w:pPr>
        <w:pStyle w:val="ListParagraph"/>
        <w:numPr>
          <w:ilvl w:val="0"/>
          <w:numId w:val="39"/>
        </w:numPr>
        <w:spacing w:line="240" w:lineRule="auto"/>
        <w:jc w:val="both"/>
        <w:rPr>
          <w:rFonts w:cs="Arial"/>
          <w:lang w:val="en-US" w:eastAsia="en-US"/>
        </w:rPr>
      </w:pPr>
      <w:r w:rsidRPr="00B52A1D">
        <w:rPr>
          <w:rFonts w:cs="Arial"/>
          <w:lang w:val="en-US" w:eastAsia="en-US"/>
        </w:rPr>
        <w:t>a combined total of 41 days for Principal Officers</w:t>
      </w:r>
    </w:p>
    <w:p w14:paraId="779B8B73" w14:textId="77777777" w:rsidR="00B52A1D" w:rsidRPr="00B52A1D" w:rsidRDefault="00B52A1D" w:rsidP="00B52A1D">
      <w:pPr>
        <w:pStyle w:val="ListParagraph"/>
        <w:numPr>
          <w:ilvl w:val="0"/>
          <w:numId w:val="39"/>
        </w:numPr>
        <w:spacing w:line="240" w:lineRule="auto"/>
        <w:jc w:val="both"/>
        <w:rPr>
          <w:rFonts w:cs="Arial"/>
          <w:lang w:val="en-US" w:eastAsia="en-US"/>
        </w:rPr>
      </w:pPr>
      <w:r w:rsidRPr="00B52A1D">
        <w:rPr>
          <w:rFonts w:cs="Arial"/>
          <w:lang w:val="en-US" w:eastAsia="en-US"/>
        </w:rPr>
        <w:t>a combined total of 40 days for Areas Managers</w:t>
      </w:r>
    </w:p>
    <w:p w14:paraId="2541BA4F" w14:textId="77777777" w:rsidR="00B52A1D" w:rsidRDefault="00B52A1D" w:rsidP="00B52A1D">
      <w:pPr>
        <w:pStyle w:val="ListParagraph"/>
        <w:spacing w:line="240" w:lineRule="auto"/>
        <w:ind w:left="709" w:hanging="709"/>
        <w:jc w:val="both"/>
        <w:rPr>
          <w:rFonts w:cs="Arial"/>
          <w:lang w:val="en-US" w:eastAsia="en-US"/>
        </w:rPr>
      </w:pPr>
    </w:p>
    <w:p w14:paraId="65953918" w14:textId="77777777" w:rsidR="00B52A1D" w:rsidRPr="00CF33DB" w:rsidRDefault="00B52A1D" w:rsidP="00B52A1D">
      <w:pPr>
        <w:spacing w:line="240" w:lineRule="auto"/>
        <w:contextualSpacing/>
        <w:jc w:val="both"/>
        <w:rPr>
          <w:rFonts w:cs="Arial"/>
          <w:lang w:val="en-US" w:eastAsia="en-US"/>
        </w:rPr>
      </w:pPr>
      <w:r>
        <w:rPr>
          <w:rFonts w:cs="Arial"/>
          <w:lang w:val="en-US" w:eastAsia="en-US"/>
        </w:rPr>
        <w:t>Leave</w:t>
      </w:r>
      <w:r w:rsidRPr="00CF33DB">
        <w:rPr>
          <w:rFonts w:cs="Arial"/>
          <w:lang w:val="en-US" w:eastAsia="en-US"/>
        </w:rPr>
        <w:t xml:space="preserve"> includes Scale A, B, L</w:t>
      </w:r>
      <w:r>
        <w:rPr>
          <w:rFonts w:cs="Arial"/>
          <w:lang w:val="en-US" w:eastAsia="en-US"/>
        </w:rPr>
        <w:t>ong Service (L</w:t>
      </w:r>
      <w:r w:rsidRPr="00CF33DB">
        <w:rPr>
          <w:rFonts w:cs="Arial"/>
          <w:lang w:val="en-US" w:eastAsia="en-US"/>
        </w:rPr>
        <w:t>S</w:t>
      </w:r>
      <w:r>
        <w:rPr>
          <w:rFonts w:cs="Arial"/>
          <w:lang w:val="en-US" w:eastAsia="en-US"/>
        </w:rPr>
        <w:t>) and</w:t>
      </w:r>
      <w:r w:rsidRPr="00CF33DB">
        <w:rPr>
          <w:rFonts w:cs="Arial"/>
          <w:lang w:val="en-US" w:eastAsia="en-US"/>
        </w:rPr>
        <w:t xml:space="preserve"> PH</w:t>
      </w:r>
      <w:r>
        <w:rPr>
          <w:rFonts w:cs="Arial"/>
          <w:lang w:val="en-US" w:eastAsia="en-US"/>
        </w:rPr>
        <w:t>. All other arrangements are in accordance with contracts of employment.</w:t>
      </w:r>
    </w:p>
    <w:p w14:paraId="28BC4A1A" w14:textId="77777777" w:rsidR="00B52A1D" w:rsidRPr="0016337A" w:rsidRDefault="00B52A1D" w:rsidP="00B52A1D">
      <w:pPr>
        <w:pStyle w:val="ListParagraph"/>
        <w:spacing w:line="240" w:lineRule="auto"/>
        <w:ind w:left="709" w:hanging="709"/>
        <w:jc w:val="both"/>
        <w:rPr>
          <w:rFonts w:cs="Arial"/>
          <w:lang w:val="en-US" w:eastAsia="en-US"/>
        </w:rPr>
      </w:pPr>
    </w:p>
    <w:p w14:paraId="5A738F00" w14:textId="77777777" w:rsidR="00B52A1D" w:rsidRDefault="00B52A1D" w:rsidP="00B52A1D">
      <w:pPr>
        <w:spacing w:line="240" w:lineRule="auto"/>
        <w:contextualSpacing/>
        <w:jc w:val="both"/>
        <w:rPr>
          <w:rFonts w:cs="Arial"/>
          <w:lang w:val="en-US" w:eastAsia="en-US"/>
        </w:rPr>
      </w:pPr>
      <w:r>
        <w:rPr>
          <w:rFonts w:cs="Arial"/>
          <w:lang w:val="en-US" w:eastAsia="en-US"/>
        </w:rPr>
        <w:t>The</w:t>
      </w:r>
      <w:r w:rsidRPr="00B313D6">
        <w:rPr>
          <w:rFonts w:cs="Arial"/>
          <w:lang w:val="en-US" w:eastAsia="en-US"/>
        </w:rPr>
        <w:t xml:space="preserve"> entitlement can be taken in any combination of full days.</w:t>
      </w:r>
      <w:r>
        <w:rPr>
          <w:rFonts w:cs="Arial"/>
          <w:lang w:val="en-US" w:eastAsia="en-US"/>
        </w:rPr>
        <w:t xml:space="preserve"> If leave is taken on a ‘1</w:t>
      </w:r>
      <w:r w:rsidRPr="00997C37">
        <w:rPr>
          <w:rFonts w:cs="Arial"/>
          <w:vertAlign w:val="superscript"/>
          <w:lang w:val="en-US" w:eastAsia="en-US"/>
        </w:rPr>
        <w:t>st</w:t>
      </w:r>
      <w:r>
        <w:rPr>
          <w:rFonts w:cs="Arial"/>
          <w:lang w:val="en-US" w:eastAsia="en-US"/>
        </w:rPr>
        <w:t xml:space="preserve"> call period, alternate Manager Cover (cover swap) must be secured before approval. Leave</w:t>
      </w:r>
      <w:r w:rsidRPr="00B313D6">
        <w:rPr>
          <w:rFonts w:cs="Arial"/>
          <w:lang w:val="en-US" w:eastAsia="en-US"/>
        </w:rPr>
        <w:t xml:space="preserve"> does not need to be pre</w:t>
      </w:r>
      <w:r>
        <w:rPr>
          <w:rFonts w:cs="Arial"/>
          <w:lang w:val="en-US" w:eastAsia="en-US"/>
        </w:rPr>
        <w:t>-</w:t>
      </w:r>
      <w:r w:rsidRPr="00B313D6">
        <w:rPr>
          <w:rFonts w:cs="Arial"/>
          <w:lang w:val="en-US" w:eastAsia="en-US"/>
        </w:rPr>
        <w:t>programmed or taken in specific blocks but is subject to prior approval by line managers and the exigencies of the Service.</w:t>
      </w:r>
      <w:r>
        <w:rPr>
          <w:rFonts w:cs="Arial"/>
          <w:lang w:val="en-US" w:eastAsia="en-US"/>
        </w:rPr>
        <w:t xml:space="preserve"> </w:t>
      </w:r>
    </w:p>
    <w:p w14:paraId="1E41DEC0" w14:textId="77777777" w:rsidR="00B52A1D" w:rsidRDefault="00B52A1D" w:rsidP="00B52A1D">
      <w:pPr>
        <w:spacing w:line="240" w:lineRule="auto"/>
        <w:ind w:left="709"/>
        <w:contextualSpacing/>
        <w:jc w:val="both"/>
        <w:rPr>
          <w:rFonts w:cs="Arial"/>
          <w:lang w:val="en-US" w:eastAsia="en-US"/>
        </w:rPr>
      </w:pPr>
    </w:p>
    <w:p w14:paraId="600B26DE" w14:textId="77777777" w:rsidR="00B52A1D" w:rsidRDefault="00B52A1D" w:rsidP="00B52A1D">
      <w:pPr>
        <w:spacing w:line="240" w:lineRule="auto"/>
        <w:contextualSpacing/>
        <w:jc w:val="both"/>
        <w:rPr>
          <w:rFonts w:cs="Arial"/>
          <w:lang w:val="en-US" w:eastAsia="en-US"/>
        </w:rPr>
      </w:pPr>
      <w:r>
        <w:rPr>
          <w:rFonts w:cs="Arial"/>
          <w:lang w:val="en-US" w:eastAsia="en-US"/>
        </w:rPr>
        <w:t>When leave is requested on 2</w:t>
      </w:r>
      <w:r w:rsidRPr="003C08F2">
        <w:rPr>
          <w:rFonts w:cs="Arial"/>
          <w:vertAlign w:val="superscript"/>
          <w:lang w:val="en-US" w:eastAsia="en-US"/>
        </w:rPr>
        <w:t>nd</w:t>
      </w:r>
      <w:r>
        <w:rPr>
          <w:rFonts w:cs="Arial"/>
          <w:lang w:val="en-US" w:eastAsia="en-US"/>
        </w:rPr>
        <w:t xml:space="preserve"> call period, alternate Manager Cover (cover swap) should be sought, however leave can be approved without a cover swap if there are 2 Principal Officers available. In these circumstances one of the Principal Officers will fulfil the Area Manager 2</w:t>
      </w:r>
      <w:r w:rsidRPr="00AD1280">
        <w:rPr>
          <w:rFonts w:cs="Arial"/>
          <w:vertAlign w:val="superscript"/>
          <w:lang w:val="en-US" w:eastAsia="en-US"/>
        </w:rPr>
        <w:t>nd</w:t>
      </w:r>
      <w:r>
        <w:rPr>
          <w:rFonts w:cs="Arial"/>
          <w:lang w:val="en-US" w:eastAsia="en-US"/>
        </w:rPr>
        <w:t xml:space="preserve"> call responsibilities.</w:t>
      </w:r>
    </w:p>
    <w:p w14:paraId="26DEF88E" w14:textId="77777777" w:rsidR="00B52A1D" w:rsidRPr="003C08F2" w:rsidRDefault="00B52A1D" w:rsidP="00B52A1D">
      <w:pPr>
        <w:spacing w:line="240" w:lineRule="auto"/>
        <w:contextualSpacing/>
        <w:jc w:val="both"/>
        <w:rPr>
          <w:rFonts w:cs="Arial"/>
          <w:lang w:val="en-US" w:eastAsia="en-US"/>
        </w:rPr>
      </w:pPr>
    </w:p>
    <w:p w14:paraId="52F21442" w14:textId="77777777" w:rsidR="00B52A1D" w:rsidRDefault="00B52A1D" w:rsidP="00B52A1D">
      <w:pPr>
        <w:spacing w:line="240" w:lineRule="auto"/>
        <w:contextualSpacing/>
        <w:jc w:val="both"/>
        <w:rPr>
          <w:rFonts w:cs="Arial"/>
          <w:lang w:val="en-US" w:eastAsia="en-US"/>
        </w:rPr>
      </w:pPr>
      <w:r w:rsidRPr="0062413D">
        <w:rPr>
          <w:rFonts w:cs="Arial"/>
          <w:lang w:val="en-US" w:eastAsia="en-US"/>
        </w:rPr>
        <w:t xml:space="preserve">The rostering of annual leave will be determined locally. </w:t>
      </w:r>
      <w:r w:rsidRPr="00A33E00">
        <w:rPr>
          <w:rFonts w:cs="Arial"/>
          <w:lang w:val="en-US" w:eastAsia="en-US"/>
        </w:rPr>
        <w:t xml:space="preserve">In normal circumstances, to ensure operational resilience only 2 </w:t>
      </w:r>
      <w:r>
        <w:rPr>
          <w:rFonts w:cs="Arial"/>
          <w:lang w:val="en-US" w:eastAsia="en-US"/>
        </w:rPr>
        <w:t xml:space="preserve">Strategic </w:t>
      </w:r>
      <w:r w:rsidRPr="00A33E00">
        <w:rPr>
          <w:rFonts w:cs="Arial"/>
          <w:lang w:val="en-US" w:eastAsia="en-US"/>
        </w:rPr>
        <w:t>Managers should be on leave at any one time</w:t>
      </w:r>
      <w:r>
        <w:rPr>
          <w:rFonts w:cs="Arial"/>
          <w:lang w:val="en-US" w:eastAsia="en-US"/>
        </w:rPr>
        <w:t xml:space="preserve">, extended to 3 in </w:t>
      </w:r>
      <w:r w:rsidRPr="00901C34">
        <w:rPr>
          <w:rFonts w:cs="Arial"/>
          <w:lang w:val="en-US" w:eastAsia="en-US"/>
        </w:rPr>
        <w:t>exceptional</w:t>
      </w:r>
      <w:r w:rsidRPr="004D5064">
        <w:rPr>
          <w:rFonts w:cs="Arial"/>
          <w:i/>
          <w:lang w:val="en-US" w:eastAsia="en-US"/>
        </w:rPr>
        <w:t xml:space="preserve"> </w:t>
      </w:r>
      <w:r>
        <w:rPr>
          <w:rFonts w:cs="Arial"/>
          <w:lang w:val="en-US" w:eastAsia="en-US"/>
        </w:rPr>
        <w:t>circumstances</w:t>
      </w:r>
      <w:r>
        <w:rPr>
          <w:rFonts w:cs="Arial"/>
          <w:color w:val="FF0000"/>
          <w:lang w:val="en-US" w:eastAsia="en-US"/>
        </w:rPr>
        <w:t xml:space="preserve">. </w:t>
      </w:r>
      <w:r>
        <w:rPr>
          <w:rFonts w:cs="Arial"/>
          <w:lang w:val="en-US" w:eastAsia="en-US"/>
        </w:rPr>
        <w:t>On all occasions there must be a minimum of 1 Principal Officer and 1 Area Manager available.</w:t>
      </w:r>
    </w:p>
    <w:p w14:paraId="2C001C6B" w14:textId="77777777" w:rsidR="00B52A1D" w:rsidRDefault="00B52A1D" w:rsidP="00B52A1D">
      <w:pPr>
        <w:pStyle w:val="ListParagraph"/>
        <w:spacing w:line="240" w:lineRule="auto"/>
        <w:rPr>
          <w:rFonts w:cs="Arial"/>
          <w:lang w:val="en-US" w:eastAsia="en-US"/>
        </w:rPr>
      </w:pPr>
    </w:p>
    <w:p w14:paraId="1B4EF2B1" w14:textId="77777777" w:rsidR="00B52A1D" w:rsidRPr="00AD1280" w:rsidRDefault="00B52A1D" w:rsidP="00B52A1D">
      <w:pPr>
        <w:spacing w:line="240" w:lineRule="auto"/>
        <w:contextualSpacing/>
        <w:jc w:val="both"/>
        <w:rPr>
          <w:rFonts w:cs="Arial"/>
          <w:lang w:val="en-US" w:eastAsia="en-US"/>
        </w:rPr>
      </w:pPr>
      <w:r w:rsidRPr="00AD1280">
        <w:rPr>
          <w:rFonts w:cs="Arial"/>
          <w:lang w:val="en-US" w:eastAsia="en-US"/>
        </w:rPr>
        <w:t xml:space="preserve">If there is a service requirement to work significant additional hours (beyond the contracted  </w:t>
      </w:r>
      <w:r>
        <w:rPr>
          <w:rFonts w:cs="Arial"/>
          <w:lang w:val="en-US" w:eastAsia="en-US"/>
        </w:rPr>
        <w:t xml:space="preserve">42 </w:t>
      </w:r>
      <w:r w:rsidRPr="00AD1280">
        <w:rPr>
          <w:rFonts w:cs="Arial"/>
          <w:lang w:val="en-US" w:eastAsia="en-US"/>
        </w:rPr>
        <w:t xml:space="preserve">hours) </w:t>
      </w:r>
      <w:r>
        <w:rPr>
          <w:rFonts w:cs="Arial"/>
          <w:lang w:val="en-US" w:eastAsia="en-US"/>
        </w:rPr>
        <w:t>Strategic Managers</w:t>
      </w:r>
      <w:r w:rsidRPr="00AD1280">
        <w:rPr>
          <w:rFonts w:cs="Arial"/>
          <w:lang w:val="en-US" w:eastAsia="en-US"/>
        </w:rPr>
        <w:t xml:space="preserve"> will be entitled to take up to 12 days ‘time in lieu’ each year in addition to annual leave</w:t>
      </w:r>
      <w:r>
        <w:rPr>
          <w:rFonts w:cs="Arial"/>
          <w:lang w:val="en-US" w:eastAsia="en-US"/>
        </w:rPr>
        <w:t xml:space="preserve">. </w:t>
      </w:r>
      <w:r w:rsidRPr="00AD1280">
        <w:rPr>
          <w:rFonts w:cs="Arial"/>
          <w:lang w:val="en-US" w:eastAsia="en-US"/>
        </w:rPr>
        <w:t xml:space="preserve">These lieu days can be taken to a maximum of 2 days per month providing this is agreed in advance with </w:t>
      </w:r>
      <w:r>
        <w:rPr>
          <w:rFonts w:cs="Arial"/>
          <w:lang w:val="en-US" w:eastAsia="en-US"/>
        </w:rPr>
        <w:t>their</w:t>
      </w:r>
      <w:r w:rsidRPr="00AD1280">
        <w:rPr>
          <w:rFonts w:cs="Arial"/>
          <w:lang w:val="en-US" w:eastAsia="en-US"/>
        </w:rPr>
        <w:t xml:space="preserve"> line manager.</w:t>
      </w:r>
    </w:p>
    <w:p w14:paraId="3EC11E28" w14:textId="77777777" w:rsidR="00B52A1D" w:rsidRPr="00A33E00" w:rsidRDefault="00B52A1D" w:rsidP="00B52A1D">
      <w:pPr>
        <w:spacing w:line="240" w:lineRule="auto"/>
        <w:ind w:left="709"/>
        <w:contextualSpacing/>
        <w:jc w:val="both"/>
        <w:rPr>
          <w:rFonts w:cs="Arial"/>
          <w:lang w:val="en-US" w:eastAsia="en-US"/>
        </w:rPr>
      </w:pPr>
    </w:p>
    <w:p w14:paraId="11AEC4AB" w14:textId="77777777" w:rsidR="00B52A1D" w:rsidRDefault="00B52A1D" w:rsidP="00B52A1D">
      <w:pPr>
        <w:spacing w:line="240" w:lineRule="auto"/>
        <w:ind w:left="709" w:hanging="709"/>
        <w:contextualSpacing/>
        <w:jc w:val="both"/>
        <w:rPr>
          <w:rFonts w:cs="Arial"/>
          <w:lang w:val="en-US" w:eastAsia="en-US"/>
        </w:rPr>
      </w:pPr>
    </w:p>
    <w:p w14:paraId="78BB8951" w14:textId="77777777" w:rsidR="00B52A1D" w:rsidRPr="00A63E1A" w:rsidRDefault="00B52A1D" w:rsidP="00B52A1D">
      <w:pPr>
        <w:spacing w:line="240" w:lineRule="auto"/>
        <w:ind w:left="709" w:hanging="709"/>
        <w:contextualSpacing/>
        <w:jc w:val="both"/>
        <w:rPr>
          <w:rFonts w:cs="Arial"/>
          <w:lang w:val="en-US" w:eastAsia="en-US"/>
        </w:rPr>
      </w:pPr>
    </w:p>
    <w:p w14:paraId="4D8FE747" w14:textId="77777777" w:rsidR="00B52A1D" w:rsidRPr="00B52A1D" w:rsidRDefault="00B52A1D" w:rsidP="00B52A1D">
      <w:pPr>
        <w:pStyle w:val="Heading3"/>
        <w:rPr>
          <w:rStyle w:val="Hyperlink"/>
          <w:rFonts w:ascii="Arial Black" w:hAnsi="Arial Black"/>
          <w:b/>
          <w:sz w:val="28"/>
          <w:u w:val="none"/>
        </w:rPr>
      </w:pPr>
      <w:r w:rsidRPr="00B52A1D">
        <w:rPr>
          <w:rStyle w:val="Hyperlink"/>
          <w:rFonts w:ascii="Arial Black" w:hAnsi="Arial Black"/>
          <w:b/>
          <w:sz w:val="28"/>
          <w:u w:val="none"/>
        </w:rPr>
        <w:t>Public Holiday Working</w:t>
      </w:r>
    </w:p>
    <w:p w14:paraId="24A87C91" w14:textId="77777777" w:rsidR="00B52A1D" w:rsidRDefault="00B52A1D" w:rsidP="00B52A1D">
      <w:pPr>
        <w:spacing w:line="240" w:lineRule="auto"/>
        <w:ind w:left="709" w:hanging="709"/>
        <w:contextualSpacing/>
        <w:jc w:val="both"/>
        <w:rPr>
          <w:rStyle w:val="Hyperlink"/>
          <w:rFonts w:ascii="Arial Black" w:hAnsi="Arial Black" w:cs="Arial"/>
          <w:color w:val="0082AA"/>
          <w:sz w:val="28"/>
          <w:szCs w:val="28"/>
        </w:rPr>
      </w:pPr>
    </w:p>
    <w:p w14:paraId="6EBF7E1F" w14:textId="77777777" w:rsidR="00B52A1D" w:rsidRPr="00B52A1D" w:rsidRDefault="00B52A1D" w:rsidP="00B52A1D">
      <w:pPr>
        <w:spacing w:line="240" w:lineRule="auto"/>
        <w:jc w:val="both"/>
        <w:rPr>
          <w:rFonts w:cs="Arial"/>
          <w:lang w:val="en-US" w:eastAsia="en-US"/>
        </w:rPr>
      </w:pPr>
      <w:r w:rsidRPr="00B52A1D">
        <w:rPr>
          <w:rFonts w:cs="Arial"/>
          <w:lang w:val="en-US" w:eastAsia="en-US"/>
        </w:rPr>
        <w:t>Strategic Managers who are rostered to work on Public Holidays will be allowed to provide standby cover from an appropriate base and will record 8.4 positive hours. In addition, any positive hours worked on a Public Holiday will be credited as plain time hours.</w:t>
      </w:r>
    </w:p>
    <w:p w14:paraId="435654FC" w14:textId="77777777" w:rsidR="00B52A1D" w:rsidRPr="009D0A13" w:rsidRDefault="00B52A1D" w:rsidP="00B52A1D">
      <w:pPr>
        <w:tabs>
          <w:tab w:val="num" w:pos="567"/>
        </w:tabs>
        <w:spacing w:line="240" w:lineRule="auto"/>
        <w:ind w:left="709" w:hanging="709"/>
        <w:contextualSpacing/>
        <w:jc w:val="both"/>
        <w:rPr>
          <w:rFonts w:cs="Arial"/>
          <w:lang w:val="en-US" w:eastAsia="en-US"/>
        </w:rPr>
      </w:pPr>
    </w:p>
    <w:p w14:paraId="62072CC6" w14:textId="77777777" w:rsidR="00B52A1D" w:rsidRPr="00B52A1D" w:rsidRDefault="00B52A1D" w:rsidP="00B52A1D">
      <w:pPr>
        <w:spacing w:line="240" w:lineRule="auto"/>
        <w:jc w:val="both"/>
        <w:rPr>
          <w:rFonts w:cs="Arial"/>
          <w:lang w:val="en-US" w:eastAsia="en-US"/>
        </w:rPr>
      </w:pPr>
      <w:r w:rsidRPr="00B52A1D">
        <w:rPr>
          <w:rFonts w:cs="Arial"/>
          <w:lang w:val="en-US" w:eastAsia="en-US"/>
        </w:rPr>
        <w:t>Strategic Managers who are not rostered as 1</w:t>
      </w:r>
      <w:r w:rsidRPr="00B52A1D">
        <w:rPr>
          <w:rFonts w:cs="Arial"/>
          <w:vertAlign w:val="superscript"/>
          <w:lang w:val="en-US" w:eastAsia="en-US"/>
        </w:rPr>
        <w:t>st</w:t>
      </w:r>
      <w:r w:rsidRPr="00B52A1D">
        <w:rPr>
          <w:rFonts w:cs="Arial"/>
          <w:lang w:val="en-US" w:eastAsia="en-US"/>
        </w:rPr>
        <w:t xml:space="preserve"> call on Public Holidays will normally take the day as it falls. As a minimum requirement, there must be 1 Principal Officer and 1</w:t>
      </w:r>
      <w:r w:rsidRPr="00B52A1D">
        <w:rPr>
          <w:rFonts w:cs="Arial"/>
          <w:vertAlign w:val="superscript"/>
          <w:lang w:val="en-US" w:eastAsia="en-US"/>
        </w:rPr>
        <w:t>st</w:t>
      </w:r>
      <w:r w:rsidRPr="00B52A1D">
        <w:rPr>
          <w:rFonts w:cs="Arial"/>
          <w:lang w:val="en-US" w:eastAsia="en-US"/>
        </w:rPr>
        <w:t xml:space="preserve"> call Area Manager on call on a Public Holiday. Where excess hours have been previously accrued within the current or previous rota cycle, they may be taken back on a Public Holiday.  </w:t>
      </w:r>
    </w:p>
    <w:p w14:paraId="484D90FB" w14:textId="77777777" w:rsidR="00B52A1D" w:rsidRPr="00B313D6" w:rsidRDefault="00B52A1D" w:rsidP="00B52A1D">
      <w:pPr>
        <w:tabs>
          <w:tab w:val="num" w:pos="567"/>
        </w:tabs>
        <w:spacing w:line="240" w:lineRule="auto"/>
        <w:ind w:left="709" w:hanging="709"/>
        <w:contextualSpacing/>
        <w:jc w:val="both"/>
        <w:rPr>
          <w:rFonts w:cs="Arial"/>
          <w:lang w:val="en-US" w:eastAsia="en-US"/>
        </w:rPr>
      </w:pPr>
    </w:p>
    <w:p w14:paraId="62BFB9FC" w14:textId="302E2A30" w:rsidR="00B52A1D" w:rsidRPr="00B52A1D" w:rsidRDefault="00B52A1D" w:rsidP="00B52A1D">
      <w:pPr>
        <w:spacing w:line="240" w:lineRule="auto"/>
        <w:jc w:val="both"/>
        <w:rPr>
          <w:rFonts w:cs="Arial"/>
          <w:color w:val="3366FF"/>
          <w:lang w:val="en-US" w:eastAsia="en-US"/>
        </w:rPr>
      </w:pPr>
      <w:r w:rsidRPr="00B52A1D">
        <w:rPr>
          <w:rFonts w:cs="Arial"/>
          <w:lang w:val="en-US" w:eastAsia="en-US"/>
        </w:rPr>
        <w:t>Public Holiday entitlement is included in the total annual leave allowance in 5.3 above.</w:t>
      </w:r>
      <w:r w:rsidRPr="00B52A1D">
        <w:rPr>
          <w:rFonts w:cs="Arial"/>
          <w:lang w:val="en-US" w:eastAsia="en-US"/>
        </w:rPr>
        <w:t xml:space="preserve"> </w:t>
      </w:r>
      <w:r w:rsidRPr="00B52A1D">
        <w:rPr>
          <w:rFonts w:cs="Arial"/>
          <w:lang w:val="en-US" w:eastAsia="en-US"/>
        </w:rPr>
        <w:t>Where an individual is on sick leave on a Public Holiday the day is deemed to have been taken and will be deducted from the annual leave total unless a doctor’s fit note is produced.</w:t>
      </w:r>
    </w:p>
    <w:p w14:paraId="08AF8D75" w14:textId="77777777" w:rsidR="00B52A1D" w:rsidRDefault="00B52A1D">
      <w:pPr>
        <w:spacing w:line="240" w:lineRule="auto"/>
        <w:rPr>
          <w:rFonts w:ascii="Arial Black" w:hAnsi="Arial Black"/>
          <w:b/>
          <w:color w:val="0082AA"/>
          <w:sz w:val="28"/>
          <w:szCs w:val="28"/>
        </w:rPr>
      </w:pPr>
      <w:r>
        <w:rPr>
          <w:rFonts w:ascii="Arial Black" w:hAnsi="Arial Black"/>
          <w:b/>
          <w:color w:val="0082AA"/>
          <w:sz w:val="28"/>
          <w:szCs w:val="28"/>
        </w:rPr>
        <w:br w:type="page"/>
      </w:r>
    </w:p>
    <w:p w14:paraId="2B7C4B83" w14:textId="1663AB4E" w:rsidR="00B52A1D" w:rsidRPr="00833179" w:rsidRDefault="00B52A1D" w:rsidP="00B52A1D">
      <w:pPr>
        <w:pStyle w:val="Heading1"/>
      </w:pPr>
      <w:r>
        <w:lastRenderedPageBreak/>
        <w:t>Appendix A</w:t>
      </w:r>
    </w:p>
    <w:p w14:paraId="5A69B243" w14:textId="77777777" w:rsidR="00B52A1D" w:rsidRPr="00370F4C" w:rsidRDefault="00B52A1D" w:rsidP="00B52A1D">
      <w:pPr>
        <w:spacing w:line="240" w:lineRule="auto"/>
        <w:contextualSpacing/>
        <w:rPr>
          <w:rFonts w:cs="Arial"/>
        </w:rPr>
      </w:pPr>
    </w:p>
    <w:p w14:paraId="23E88DBB" w14:textId="77777777" w:rsidR="00B52A1D" w:rsidRPr="0042212F" w:rsidRDefault="00B52A1D" w:rsidP="00B52A1D">
      <w:pPr>
        <w:spacing w:line="240" w:lineRule="auto"/>
        <w:contextualSpacing/>
        <w:rPr>
          <w:rFonts w:cs="Arial"/>
        </w:rPr>
      </w:pPr>
      <w:r>
        <w:rPr>
          <w:rFonts w:cs="Arial"/>
        </w:rPr>
        <w:t>Strategic Level 4 / Multi Agency Gold Rota arrangements</w:t>
      </w:r>
      <w:r w:rsidRPr="00370F4C">
        <w:rPr>
          <w:rFonts w:cs="Arial"/>
        </w:rPr>
        <w:t xml:space="preserve"> </w:t>
      </w:r>
      <w:r>
        <w:rPr>
          <w:rFonts w:cs="Arial"/>
        </w:rPr>
        <w:t xml:space="preserve">– </w:t>
      </w:r>
      <w:r w:rsidRPr="008C753A">
        <w:rPr>
          <w:rFonts w:cs="Arial"/>
          <w:b/>
        </w:rPr>
        <w:t>1</w:t>
      </w:r>
      <w:r w:rsidRPr="008C753A">
        <w:rPr>
          <w:rFonts w:cs="Arial"/>
          <w:b/>
          <w:vertAlign w:val="superscript"/>
        </w:rPr>
        <w:t>st</w:t>
      </w:r>
      <w:r w:rsidRPr="008C753A">
        <w:rPr>
          <w:rFonts w:cs="Arial"/>
          <w:b/>
        </w:rPr>
        <w:t xml:space="preserve"> Call Duties</w:t>
      </w:r>
      <w:r>
        <w:rPr>
          <w:rFonts w:cs="Arial"/>
          <w:b/>
        </w:rPr>
        <w:t xml:space="preserve"> </w:t>
      </w:r>
      <w:r>
        <w:rPr>
          <w:rFonts w:cs="Arial"/>
        </w:rPr>
        <w:t>(2</w:t>
      </w:r>
      <w:r w:rsidRPr="0042212F">
        <w:rPr>
          <w:rFonts w:cs="Arial"/>
          <w:vertAlign w:val="superscript"/>
        </w:rPr>
        <w:t>nd</w:t>
      </w:r>
      <w:r>
        <w:rPr>
          <w:rFonts w:cs="Arial"/>
        </w:rPr>
        <w:t xml:space="preserve"> Call Duties)</w:t>
      </w:r>
    </w:p>
    <w:p w14:paraId="2B920D29" w14:textId="77777777" w:rsidR="00B52A1D" w:rsidRPr="00370F4C" w:rsidRDefault="00B52A1D" w:rsidP="00B52A1D">
      <w:pPr>
        <w:spacing w:line="240" w:lineRule="auto"/>
        <w:contextualSpacing/>
        <w:rPr>
          <w:rFonts w:cs="Arial"/>
        </w:rPr>
      </w:pPr>
    </w:p>
    <w:tbl>
      <w:tblPr>
        <w:tblStyle w:val="TableGrid"/>
        <w:tblW w:w="10800" w:type="dxa"/>
        <w:tblInd w:w="-176" w:type="dxa"/>
        <w:tblCellMar>
          <w:top w:w="108" w:type="dxa"/>
          <w:bottom w:w="108" w:type="dxa"/>
        </w:tblCellMar>
        <w:tblLook w:val="04A0" w:firstRow="1" w:lastRow="0" w:firstColumn="1" w:lastColumn="0" w:noHBand="0" w:noVBand="1"/>
      </w:tblPr>
      <w:tblGrid>
        <w:gridCol w:w="1042"/>
        <w:gridCol w:w="1394"/>
        <w:gridCol w:w="1394"/>
        <w:gridCol w:w="1394"/>
        <w:gridCol w:w="1394"/>
        <w:gridCol w:w="1394"/>
        <w:gridCol w:w="1394"/>
        <w:gridCol w:w="1394"/>
      </w:tblGrid>
      <w:tr w:rsidR="00B52A1D" w:rsidRPr="008C753A" w14:paraId="3EEE6F02" w14:textId="77777777" w:rsidTr="006F122F">
        <w:tc>
          <w:tcPr>
            <w:tcW w:w="1042" w:type="dxa"/>
            <w:tcBorders>
              <w:top w:val="nil"/>
              <w:left w:val="nil"/>
            </w:tcBorders>
          </w:tcPr>
          <w:p w14:paraId="1D0FA9A6" w14:textId="77777777" w:rsidR="00B52A1D" w:rsidRPr="008C753A" w:rsidRDefault="00B52A1D" w:rsidP="00B52A1D">
            <w:pPr>
              <w:spacing w:line="240" w:lineRule="auto"/>
              <w:contextualSpacing/>
              <w:rPr>
                <w:rFonts w:cs="Arial"/>
              </w:rPr>
            </w:pPr>
          </w:p>
        </w:tc>
        <w:tc>
          <w:tcPr>
            <w:tcW w:w="1394" w:type="dxa"/>
          </w:tcPr>
          <w:p w14:paraId="7CEC1147" w14:textId="77777777" w:rsidR="00B52A1D" w:rsidRPr="008C753A" w:rsidRDefault="00B52A1D" w:rsidP="00B52A1D">
            <w:pPr>
              <w:spacing w:line="240" w:lineRule="auto"/>
              <w:contextualSpacing/>
              <w:jc w:val="center"/>
              <w:rPr>
                <w:rFonts w:cs="Arial"/>
                <w:b/>
              </w:rPr>
            </w:pPr>
            <w:r>
              <w:rPr>
                <w:rFonts w:cs="Arial"/>
                <w:b/>
              </w:rPr>
              <w:t>Mon</w:t>
            </w:r>
          </w:p>
        </w:tc>
        <w:tc>
          <w:tcPr>
            <w:tcW w:w="1394" w:type="dxa"/>
          </w:tcPr>
          <w:p w14:paraId="075FD80B" w14:textId="77777777" w:rsidR="00B52A1D" w:rsidRPr="008C753A" w:rsidRDefault="00B52A1D" w:rsidP="00B52A1D">
            <w:pPr>
              <w:spacing w:line="240" w:lineRule="auto"/>
              <w:contextualSpacing/>
              <w:jc w:val="center"/>
              <w:rPr>
                <w:rFonts w:cs="Arial"/>
                <w:b/>
              </w:rPr>
            </w:pPr>
            <w:r>
              <w:rPr>
                <w:rFonts w:cs="Arial"/>
                <w:b/>
              </w:rPr>
              <w:t>Tues</w:t>
            </w:r>
          </w:p>
        </w:tc>
        <w:tc>
          <w:tcPr>
            <w:tcW w:w="1394" w:type="dxa"/>
          </w:tcPr>
          <w:p w14:paraId="02EFCC3B" w14:textId="77777777" w:rsidR="00B52A1D" w:rsidRPr="008C753A" w:rsidRDefault="00B52A1D" w:rsidP="00B52A1D">
            <w:pPr>
              <w:spacing w:line="240" w:lineRule="auto"/>
              <w:contextualSpacing/>
              <w:jc w:val="center"/>
              <w:rPr>
                <w:rFonts w:cs="Arial"/>
                <w:b/>
              </w:rPr>
            </w:pPr>
            <w:r>
              <w:rPr>
                <w:rFonts w:cs="Arial"/>
                <w:b/>
              </w:rPr>
              <w:t>Wed</w:t>
            </w:r>
          </w:p>
        </w:tc>
        <w:tc>
          <w:tcPr>
            <w:tcW w:w="1394" w:type="dxa"/>
          </w:tcPr>
          <w:p w14:paraId="447AA9AF" w14:textId="77777777" w:rsidR="00B52A1D" w:rsidRPr="008C753A" w:rsidRDefault="00B52A1D" w:rsidP="00B52A1D">
            <w:pPr>
              <w:spacing w:line="240" w:lineRule="auto"/>
              <w:contextualSpacing/>
              <w:jc w:val="center"/>
              <w:rPr>
                <w:rFonts w:cs="Arial"/>
                <w:b/>
              </w:rPr>
            </w:pPr>
            <w:r>
              <w:rPr>
                <w:rFonts w:cs="Arial"/>
                <w:b/>
              </w:rPr>
              <w:t>Thurs</w:t>
            </w:r>
          </w:p>
        </w:tc>
        <w:tc>
          <w:tcPr>
            <w:tcW w:w="1394" w:type="dxa"/>
          </w:tcPr>
          <w:p w14:paraId="30CC6589" w14:textId="77777777" w:rsidR="00B52A1D" w:rsidRDefault="00B52A1D" w:rsidP="00B52A1D">
            <w:pPr>
              <w:spacing w:line="240" w:lineRule="auto"/>
              <w:contextualSpacing/>
              <w:jc w:val="center"/>
              <w:rPr>
                <w:rFonts w:cs="Arial"/>
                <w:b/>
              </w:rPr>
            </w:pPr>
            <w:r w:rsidRPr="008C753A">
              <w:rPr>
                <w:rFonts w:cs="Arial"/>
                <w:b/>
              </w:rPr>
              <w:t>Fri</w:t>
            </w:r>
          </w:p>
        </w:tc>
        <w:tc>
          <w:tcPr>
            <w:tcW w:w="1394" w:type="dxa"/>
          </w:tcPr>
          <w:p w14:paraId="2C6003C6" w14:textId="77777777" w:rsidR="00B52A1D" w:rsidRDefault="00B52A1D" w:rsidP="00B52A1D">
            <w:pPr>
              <w:spacing w:line="240" w:lineRule="auto"/>
              <w:contextualSpacing/>
              <w:jc w:val="center"/>
              <w:rPr>
                <w:rFonts w:cs="Arial"/>
                <w:b/>
              </w:rPr>
            </w:pPr>
            <w:r w:rsidRPr="008C753A">
              <w:rPr>
                <w:rFonts w:cs="Arial"/>
                <w:b/>
              </w:rPr>
              <w:t>Sat</w:t>
            </w:r>
          </w:p>
        </w:tc>
        <w:tc>
          <w:tcPr>
            <w:tcW w:w="1394" w:type="dxa"/>
          </w:tcPr>
          <w:p w14:paraId="7A7D95F2" w14:textId="77777777" w:rsidR="00B52A1D" w:rsidRDefault="00B52A1D" w:rsidP="00B52A1D">
            <w:pPr>
              <w:spacing w:line="240" w:lineRule="auto"/>
              <w:contextualSpacing/>
              <w:jc w:val="center"/>
              <w:rPr>
                <w:rFonts w:cs="Arial"/>
                <w:b/>
              </w:rPr>
            </w:pPr>
            <w:r w:rsidRPr="008C753A">
              <w:rPr>
                <w:rFonts w:cs="Arial"/>
                <w:b/>
              </w:rPr>
              <w:t>Sun</w:t>
            </w:r>
          </w:p>
        </w:tc>
      </w:tr>
      <w:tr w:rsidR="00B52A1D" w:rsidRPr="008C753A" w14:paraId="670BD8E0" w14:textId="77777777" w:rsidTr="006F122F">
        <w:tc>
          <w:tcPr>
            <w:tcW w:w="1042" w:type="dxa"/>
          </w:tcPr>
          <w:p w14:paraId="5C257093" w14:textId="77777777" w:rsidR="00B52A1D" w:rsidRPr="008C753A" w:rsidRDefault="00B52A1D" w:rsidP="00B52A1D">
            <w:pPr>
              <w:spacing w:line="240" w:lineRule="auto"/>
              <w:contextualSpacing/>
              <w:rPr>
                <w:rFonts w:cs="Arial"/>
                <w:b/>
              </w:rPr>
            </w:pPr>
            <w:r w:rsidRPr="008C753A">
              <w:rPr>
                <w:rFonts w:cs="Arial"/>
                <w:b/>
              </w:rPr>
              <w:t xml:space="preserve">Week 1 </w:t>
            </w:r>
          </w:p>
        </w:tc>
        <w:tc>
          <w:tcPr>
            <w:tcW w:w="1394" w:type="dxa"/>
          </w:tcPr>
          <w:p w14:paraId="235C90DE" w14:textId="77777777" w:rsidR="00B52A1D" w:rsidRDefault="00B52A1D" w:rsidP="00B52A1D">
            <w:pPr>
              <w:spacing w:line="240" w:lineRule="auto"/>
              <w:contextualSpacing/>
            </w:pPr>
            <w:r w:rsidRPr="00BA5DD1">
              <w:rPr>
                <w:rFonts w:cs="Arial"/>
              </w:rPr>
              <w:t>AM1 (AM</w:t>
            </w:r>
            <w:r>
              <w:rPr>
                <w:rFonts w:cs="Arial"/>
              </w:rPr>
              <w:t>3</w:t>
            </w:r>
            <w:r w:rsidRPr="00BA5DD1">
              <w:rPr>
                <w:rFonts w:cs="Arial"/>
              </w:rPr>
              <w:t>)</w:t>
            </w:r>
          </w:p>
        </w:tc>
        <w:tc>
          <w:tcPr>
            <w:tcW w:w="1394" w:type="dxa"/>
          </w:tcPr>
          <w:p w14:paraId="312E69D8" w14:textId="77777777" w:rsidR="00B52A1D" w:rsidRDefault="00B52A1D" w:rsidP="00B52A1D">
            <w:pPr>
              <w:spacing w:line="240" w:lineRule="auto"/>
              <w:contextualSpacing/>
            </w:pPr>
            <w:r w:rsidRPr="00BA5DD1">
              <w:rPr>
                <w:rFonts w:cs="Arial"/>
              </w:rPr>
              <w:t>AM1 (AM</w:t>
            </w:r>
            <w:r>
              <w:rPr>
                <w:rFonts w:cs="Arial"/>
              </w:rPr>
              <w:t>3</w:t>
            </w:r>
            <w:r w:rsidRPr="00BA5DD1">
              <w:rPr>
                <w:rFonts w:cs="Arial"/>
              </w:rPr>
              <w:t>)</w:t>
            </w:r>
          </w:p>
        </w:tc>
        <w:tc>
          <w:tcPr>
            <w:tcW w:w="1394" w:type="dxa"/>
          </w:tcPr>
          <w:p w14:paraId="5C9F4B19" w14:textId="77777777" w:rsidR="00B52A1D" w:rsidRDefault="00B52A1D" w:rsidP="00B52A1D">
            <w:pPr>
              <w:spacing w:line="240" w:lineRule="auto"/>
              <w:contextualSpacing/>
            </w:pPr>
            <w:r w:rsidRPr="00BA5DD1">
              <w:rPr>
                <w:rFonts w:cs="Arial"/>
              </w:rPr>
              <w:t>AM1 (AM</w:t>
            </w:r>
            <w:r>
              <w:rPr>
                <w:rFonts w:cs="Arial"/>
              </w:rPr>
              <w:t>3</w:t>
            </w:r>
            <w:r w:rsidRPr="00BA5DD1">
              <w:rPr>
                <w:rFonts w:cs="Arial"/>
              </w:rPr>
              <w:t>)</w:t>
            </w:r>
          </w:p>
        </w:tc>
        <w:tc>
          <w:tcPr>
            <w:tcW w:w="1394" w:type="dxa"/>
          </w:tcPr>
          <w:p w14:paraId="6610F0CC" w14:textId="77777777" w:rsidR="00B52A1D" w:rsidRDefault="00B52A1D" w:rsidP="00B52A1D">
            <w:pPr>
              <w:spacing w:line="240" w:lineRule="auto"/>
              <w:contextualSpacing/>
            </w:pPr>
            <w:r w:rsidRPr="00BA5DD1">
              <w:rPr>
                <w:rFonts w:cs="Arial"/>
              </w:rPr>
              <w:t>AM1 (AM</w:t>
            </w:r>
            <w:r>
              <w:rPr>
                <w:rFonts w:cs="Arial"/>
              </w:rPr>
              <w:t>3</w:t>
            </w:r>
            <w:r w:rsidRPr="00BA5DD1">
              <w:rPr>
                <w:rFonts w:cs="Arial"/>
              </w:rPr>
              <w:t>)</w:t>
            </w:r>
          </w:p>
        </w:tc>
        <w:tc>
          <w:tcPr>
            <w:tcW w:w="1394" w:type="dxa"/>
          </w:tcPr>
          <w:p w14:paraId="32F29F79" w14:textId="77777777" w:rsidR="00B52A1D" w:rsidRPr="00BA5DD1" w:rsidRDefault="00B52A1D" w:rsidP="00B52A1D">
            <w:pPr>
              <w:spacing w:line="240" w:lineRule="auto"/>
              <w:contextualSpacing/>
              <w:rPr>
                <w:rFonts w:cs="Arial"/>
              </w:rPr>
            </w:pPr>
            <w:r>
              <w:rPr>
                <w:rFonts w:cs="Arial"/>
              </w:rPr>
              <w:t>AM1 (AM3)</w:t>
            </w:r>
          </w:p>
        </w:tc>
        <w:tc>
          <w:tcPr>
            <w:tcW w:w="1394" w:type="dxa"/>
          </w:tcPr>
          <w:p w14:paraId="20DCA4E0" w14:textId="77777777" w:rsidR="00B52A1D" w:rsidRPr="00BA5DD1" w:rsidRDefault="00B52A1D" w:rsidP="00B52A1D">
            <w:pPr>
              <w:spacing w:line="240" w:lineRule="auto"/>
              <w:contextualSpacing/>
              <w:rPr>
                <w:rFonts w:cs="Arial"/>
              </w:rPr>
            </w:pPr>
            <w:r>
              <w:rPr>
                <w:rFonts w:cs="Arial"/>
              </w:rPr>
              <w:t>AM1 (AM3)</w:t>
            </w:r>
          </w:p>
        </w:tc>
        <w:tc>
          <w:tcPr>
            <w:tcW w:w="1394" w:type="dxa"/>
          </w:tcPr>
          <w:p w14:paraId="4BADD687" w14:textId="77777777" w:rsidR="00B52A1D" w:rsidRPr="00BA5DD1" w:rsidRDefault="00B52A1D" w:rsidP="00B52A1D">
            <w:pPr>
              <w:spacing w:line="240" w:lineRule="auto"/>
              <w:contextualSpacing/>
              <w:rPr>
                <w:rFonts w:cs="Arial"/>
              </w:rPr>
            </w:pPr>
            <w:r w:rsidRPr="00BA5DD1">
              <w:rPr>
                <w:rFonts w:cs="Arial"/>
              </w:rPr>
              <w:t>AM1 (AM</w:t>
            </w:r>
            <w:r>
              <w:rPr>
                <w:rFonts w:cs="Arial"/>
              </w:rPr>
              <w:t>3</w:t>
            </w:r>
            <w:r w:rsidRPr="00BA5DD1">
              <w:rPr>
                <w:rFonts w:cs="Arial"/>
              </w:rPr>
              <w:t>)</w:t>
            </w:r>
          </w:p>
        </w:tc>
      </w:tr>
      <w:tr w:rsidR="00B52A1D" w:rsidRPr="008C753A" w14:paraId="4400630F" w14:textId="77777777" w:rsidTr="006F122F">
        <w:tc>
          <w:tcPr>
            <w:tcW w:w="1042" w:type="dxa"/>
          </w:tcPr>
          <w:p w14:paraId="4C8BEF6D" w14:textId="77777777" w:rsidR="00B52A1D" w:rsidRPr="008C753A" w:rsidRDefault="00B52A1D" w:rsidP="00B52A1D">
            <w:pPr>
              <w:spacing w:line="240" w:lineRule="auto"/>
              <w:contextualSpacing/>
              <w:rPr>
                <w:rFonts w:cs="Arial"/>
                <w:b/>
              </w:rPr>
            </w:pPr>
            <w:r w:rsidRPr="008C753A">
              <w:rPr>
                <w:rFonts w:cs="Arial"/>
                <w:b/>
              </w:rPr>
              <w:t>Week 2</w:t>
            </w:r>
          </w:p>
        </w:tc>
        <w:tc>
          <w:tcPr>
            <w:tcW w:w="1394" w:type="dxa"/>
          </w:tcPr>
          <w:p w14:paraId="2F6D1193" w14:textId="77777777" w:rsidR="00B52A1D" w:rsidRDefault="00B52A1D" w:rsidP="00B52A1D">
            <w:pPr>
              <w:spacing w:line="240" w:lineRule="auto"/>
              <w:contextualSpacing/>
            </w:pPr>
            <w:r w:rsidRPr="002175AD">
              <w:rPr>
                <w:rFonts w:cs="Arial"/>
              </w:rPr>
              <w:t>AM2 (AM1)</w:t>
            </w:r>
          </w:p>
        </w:tc>
        <w:tc>
          <w:tcPr>
            <w:tcW w:w="1394" w:type="dxa"/>
          </w:tcPr>
          <w:p w14:paraId="0647FA3D" w14:textId="77777777" w:rsidR="00B52A1D" w:rsidRDefault="00B52A1D" w:rsidP="00B52A1D">
            <w:pPr>
              <w:spacing w:line="240" w:lineRule="auto"/>
              <w:contextualSpacing/>
            </w:pPr>
            <w:r w:rsidRPr="002175AD">
              <w:rPr>
                <w:rFonts w:cs="Arial"/>
              </w:rPr>
              <w:t>AM2 (AM1)</w:t>
            </w:r>
          </w:p>
        </w:tc>
        <w:tc>
          <w:tcPr>
            <w:tcW w:w="1394" w:type="dxa"/>
          </w:tcPr>
          <w:p w14:paraId="1257B4BA" w14:textId="77777777" w:rsidR="00B52A1D" w:rsidRDefault="00B52A1D" w:rsidP="00B52A1D">
            <w:pPr>
              <w:spacing w:line="240" w:lineRule="auto"/>
              <w:contextualSpacing/>
            </w:pPr>
            <w:r w:rsidRPr="002175AD">
              <w:rPr>
                <w:rFonts w:cs="Arial"/>
              </w:rPr>
              <w:t>AM2 (AM1)</w:t>
            </w:r>
          </w:p>
        </w:tc>
        <w:tc>
          <w:tcPr>
            <w:tcW w:w="1394" w:type="dxa"/>
          </w:tcPr>
          <w:p w14:paraId="49BD10BF" w14:textId="77777777" w:rsidR="00B52A1D" w:rsidRDefault="00B52A1D" w:rsidP="00B52A1D">
            <w:pPr>
              <w:spacing w:line="240" w:lineRule="auto"/>
              <w:contextualSpacing/>
            </w:pPr>
            <w:r w:rsidRPr="002175AD">
              <w:rPr>
                <w:rFonts w:cs="Arial"/>
              </w:rPr>
              <w:t>AM2 (AM1)</w:t>
            </w:r>
          </w:p>
        </w:tc>
        <w:tc>
          <w:tcPr>
            <w:tcW w:w="1394" w:type="dxa"/>
          </w:tcPr>
          <w:p w14:paraId="75384CAB" w14:textId="77777777" w:rsidR="00B52A1D" w:rsidRPr="002175AD" w:rsidRDefault="00B52A1D" w:rsidP="00B52A1D">
            <w:pPr>
              <w:spacing w:line="240" w:lineRule="auto"/>
              <w:contextualSpacing/>
              <w:rPr>
                <w:rFonts w:cs="Arial"/>
              </w:rPr>
            </w:pPr>
            <w:r w:rsidRPr="008C753A">
              <w:rPr>
                <w:rFonts w:cs="Arial"/>
              </w:rPr>
              <w:t>AM</w:t>
            </w:r>
            <w:r>
              <w:rPr>
                <w:rFonts w:cs="Arial"/>
              </w:rPr>
              <w:t>2 (AM1)</w:t>
            </w:r>
          </w:p>
        </w:tc>
        <w:tc>
          <w:tcPr>
            <w:tcW w:w="1394" w:type="dxa"/>
          </w:tcPr>
          <w:p w14:paraId="0BE241CC" w14:textId="77777777" w:rsidR="00B52A1D" w:rsidRPr="002175AD" w:rsidRDefault="00B52A1D" w:rsidP="00B52A1D">
            <w:pPr>
              <w:spacing w:line="240" w:lineRule="auto"/>
              <w:contextualSpacing/>
              <w:rPr>
                <w:rFonts w:cs="Arial"/>
              </w:rPr>
            </w:pPr>
            <w:r w:rsidRPr="002175AD">
              <w:rPr>
                <w:rFonts w:cs="Arial"/>
              </w:rPr>
              <w:t>AM2 (AM1)</w:t>
            </w:r>
          </w:p>
        </w:tc>
        <w:tc>
          <w:tcPr>
            <w:tcW w:w="1394" w:type="dxa"/>
          </w:tcPr>
          <w:p w14:paraId="0202E463" w14:textId="77777777" w:rsidR="00B52A1D" w:rsidRPr="002175AD" w:rsidRDefault="00B52A1D" w:rsidP="00B52A1D">
            <w:pPr>
              <w:spacing w:line="240" w:lineRule="auto"/>
              <w:contextualSpacing/>
              <w:rPr>
                <w:rFonts w:cs="Arial"/>
              </w:rPr>
            </w:pPr>
            <w:r w:rsidRPr="002175AD">
              <w:rPr>
                <w:rFonts w:cs="Arial"/>
              </w:rPr>
              <w:t>AM2 (AM1)</w:t>
            </w:r>
          </w:p>
        </w:tc>
      </w:tr>
      <w:tr w:rsidR="00B52A1D" w:rsidRPr="008C753A" w14:paraId="4ED9BDCA" w14:textId="77777777" w:rsidTr="006F122F">
        <w:tc>
          <w:tcPr>
            <w:tcW w:w="1042" w:type="dxa"/>
          </w:tcPr>
          <w:p w14:paraId="5DE52006" w14:textId="77777777" w:rsidR="00B52A1D" w:rsidRPr="008C753A" w:rsidRDefault="00B52A1D" w:rsidP="00B52A1D">
            <w:pPr>
              <w:spacing w:line="240" w:lineRule="auto"/>
              <w:contextualSpacing/>
              <w:rPr>
                <w:rFonts w:cs="Arial"/>
                <w:b/>
              </w:rPr>
            </w:pPr>
            <w:r w:rsidRPr="008C753A">
              <w:rPr>
                <w:rFonts w:cs="Arial"/>
                <w:b/>
              </w:rPr>
              <w:t>Week 3</w:t>
            </w:r>
          </w:p>
        </w:tc>
        <w:tc>
          <w:tcPr>
            <w:tcW w:w="1394" w:type="dxa"/>
          </w:tcPr>
          <w:p w14:paraId="3A0A7466" w14:textId="77777777" w:rsidR="00B52A1D" w:rsidRDefault="00B52A1D" w:rsidP="00B52A1D">
            <w:pPr>
              <w:spacing w:line="240" w:lineRule="auto"/>
              <w:contextualSpacing/>
            </w:pPr>
            <w:r w:rsidRPr="00BC6A1E">
              <w:rPr>
                <w:rFonts w:cs="Arial"/>
              </w:rPr>
              <w:t>AM3 (AM2)</w:t>
            </w:r>
          </w:p>
        </w:tc>
        <w:tc>
          <w:tcPr>
            <w:tcW w:w="1394" w:type="dxa"/>
          </w:tcPr>
          <w:p w14:paraId="3E204E50" w14:textId="77777777" w:rsidR="00B52A1D" w:rsidRDefault="00B52A1D" w:rsidP="00B52A1D">
            <w:pPr>
              <w:spacing w:line="240" w:lineRule="auto"/>
              <w:contextualSpacing/>
            </w:pPr>
            <w:r w:rsidRPr="00BC6A1E">
              <w:rPr>
                <w:rFonts w:cs="Arial"/>
              </w:rPr>
              <w:t>AM3 (AM2)</w:t>
            </w:r>
          </w:p>
        </w:tc>
        <w:tc>
          <w:tcPr>
            <w:tcW w:w="1394" w:type="dxa"/>
          </w:tcPr>
          <w:p w14:paraId="7869240F" w14:textId="77777777" w:rsidR="00B52A1D" w:rsidRDefault="00B52A1D" w:rsidP="00B52A1D">
            <w:pPr>
              <w:spacing w:line="240" w:lineRule="auto"/>
              <w:contextualSpacing/>
            </w:pPr>
            <w:r w:rsidRPr="00BC6A1E">
              <w:rPr>
                <w:rFonts w:cs="Arial"/>
              </w:rPr>
              <w:t>AM3 (AM2)</w:t>
            </w:r>
          </w:p>
        </w:tc>
        <w:tc>
          <w:tcPr>
            <w:tcW w:w="1394" w:type="dxa"/>
          </w:tcPr>
          <w:p w14:paraId="74993AD9" w14:textId="77777777" w:rsidR="00B52A1D" w:rsidRDefault="00B52A1D" w:rsidP="00B52A1D">
            <w:pPr>
              <w:spacing w:line="240" w:lineRule="auto"/>
              <w:contextualSpacing/>
            </w:pPr>
            <w:r w:rsidRPr="00BC6A1E">
              <w:rPr>
                <w:rFonts w:cs="Arial"/>
              </w:rPr>
              <w:t>AM3 (AM2)</w:t>
            </w:r>
          </w:p>
        </w:tc>
        <w:tc>
          <w:tcPr>
            <w:tcW w:w="1394" w:type="dxa"/>
          </w:tcPr>
          <w:p w14:paraId="35738A26" w14:textId="77777777" w:rsidR="00B52A1D" w:rsidRPr="00BC6A1E" w:rsidRDefault="00B52A1D" w:rsidP="00B52A1D">
            <w:pPr>
              <w:spacing w:line="240" w:lineRule="auto"/>
              <w:contextualSpacing/>
              <w:rPr>
                <w:rFonts w:cs="Arial"/>
              </w:rPr>
            </w:pPr>
            <w:r>
              <w:rPr>
                <w:rFonts w:cs="Arial"/>
              </w:rPr>
              <w:t>AM3</w:t>
            </w:r>
            <w:r w:rsidRPr="008C753A">
              <w:rPr>
                <w:rFonts w:cs="Arial"/>
              </w:rPr>
              <w:t xml:space="preserve"> </w:t>
            </w:r>
            <w:r>
              <w:rPr>
                <w:rFonts w:cs="Arial"/>
              </w:rPr>
              <w:t>(AM2)</w:t>
            </w:r>
          </w:p>
        </w:tc>
        <w:tc>
          <w:tcPr>
            <w:tcW w:w="1394" w:type="dxa"/>
          </w:tcPr>
          <w:p w14:paraId="2C879C43" w14:textId="77777777" w:rsidR="00B52A1D" w:rsidRPr="00BC6A1E" w:rsidRDefault="00B52A1D" w:rsidP="00B52A1D">
            <w:pPr>
              <w:spacing w:line="240" w:lineRule="auto"/>
              <w:contextualSpacing/>
              <w:rPr>
                <w:rFonts w:cs="Arial"/>
              </w:rPr>
            </w:pPr>
            <w:r w:rsidRPr="00BC6A1E">
              <w:rPr>
                <w:rFonts w:cs="Arial"/>
              </w:rPr>
              <w:t>AM3 (AM2)</w:t>
            </w:r>
          </w:p>
        </w:tc>
        <w:tc>
          <w:tcPr>
            <w:tcW w:w="1394" w:type="dxa"/>
          </w:tcPr>
          <w:p w14:paraId="6982829D" w14:textId="77777777" w:rsidR="00B52A1D" w:rsidRPr="00BC6A1E" w:rsidRDefault="00B52A1D" w:rsidP="00B52A1D">
            <w:pPr>
              <w:spacing w:line="240" w:lineRule="auto"/>
              <w:contextualSpacing/>
              <w:rPr>
                <w:rFonts w:cs="Arial"/>
              </w:rPr>
            </w:pPr>
            <w:r w:rsidRPr="00BC6A1E">
              <w:rPr>
                <w:rFonts w:cs="Arial"/>
              </w:rPr>
              <w:t>AM3 (AM2)</w:t>
            </w:r>
          </w:p>
        </w:tc>
      </w:tr>
      <w:tr w:rsidR="00B52A1D" w:rsidRPr="008C753A" w14:paraId="580E29AA" w14:textId="77777777" w:rsidTr="006F122F">
        <w:tc>
          <w:tcPr>
            <w:tcW w:w="1042" w:type="dxa"/>
            <w:shd w:val="clear" w:color="auto" w:fill="D9D9D9" w:themeFill="background1" w:themeFillShade="D9"/>
          </w:tcPr>
          <w:p w14:paraId="1252D8C9" w14:textId="77777777" w:rsidR="00B52A1D" w:rsidRPr="008C753A" w:rsidRDefault="00B52A1D" w:rsidP="00B52A1D">
            <w:pPr>
              <w:spacing w:line="240" w:lineRule="auto"/>
              <w:contextualSpacing/>
              <w:rPr>
                <w:rFonts w:cs="Arial"/>
                <w:b/>
              </w:rPr>
            </w:pPr>
            <w:r>
              <w:rPr>
                <w:rFonts w:cs="Arial"/>
                <w:b/>
              </w:rPr>
              <w:t>Cont. Duty</w:t>
            </w:r>
          </w:p>
        </w:tc>
        <w:tc>
          <w:tcPr>
            <w:tcW w:w="1394" w:type="dxa"/>
            <w:shd w:val="clear" w:color="auto" w:fill="D9D9D9" w:themeFill="background1" w:themeFillShade="D9"/>
          </w:tcPr>
          <w:p w14:paraId="0F5347CD" w14:textId="77777777" w:rsidR="00B52A1D" w:rsidRDefault="00B52A1D" w:rsidP="00B52A1D">
            <w:pPr>
              <w:spacing w:line="240" w:lineRule="auto"/>
              <w:contextualSpacing/>
            </w:pPr>
            <w:r>
              <w:rPr>
                <w:rFonts w:cs="Arial"/>
              </w:rPr>
              <w:t>P</w:t>
            </w:r>
            <w:r w:rsidRPr="000E260F">
              <w:rPr>
                <w:rFonts w:cs="Arial"/>
              </w:rPr>
              <w:t>O</w:t>
            </w:r>
          </w:p>
        </w:tc>
        <w:tc>
          <w:tcPr>
            <w:tcW w:w="1394" w:type="dxa"/>
            <w:shd w:val="clear" w:color="auto" w:fill="D9D9D9" w:themeFill="background1" w:themeFillShade="D9"/>
          </w:tcPr>
          <w:p w14:paraId="08F64078" w14:textId="77777777" w:rsidR="00B52A1D" w:rsidRDefault="00B52A1D" w:rsidP="00B52A1D">
            <w:pPr>
              <w:spacing w:line="240" w:lineRule="auto"/>
              <w:contextualSpacing/>
            </w:pPr>
            <w:r>
              <w:rPr>
                <w:rFonts w:cs="Arial"/>
              </w:rPr>
              <w:t>P</w:t>
            </w:r>
            <w:r w:rsidRPr="000E260F">
              <w:rPr>
                <w:rFonts w:cs="Arial"/>
              </w:rPr>
              <w:t>O</w:t>
            </w:r>
          </w:p>
        </w:tc>
        <w:tc>
          <w:tcPr>
            <w:tcW w:w="1394" w:type="dxa"/>
            <w:shd w:val="clear" w:color="auto" w:fill="D9D9D9" w:themeFill="background1" w:themeFillShade="D9"/>
          </w:tcPr>
          <w:p w14:paraId="6A13E986" w14:textId="77777777" w:rsidR="00B52A1D" w:rsidRDefault="00B52A1D" w:rsidP="00B52A1D">
            <w:pPr>
              <w:spacing w:line="240" w:lineRule="auto"/>
              <w:contextualSpacing/>
            </w:pPr>
            <w:r>
              <w:rPr>
                <w:rFonts w:cs="Arial"/>
              </w:rPr>
              <w:t>P</w:t>
            </w:r>
            <w:r w:rsidRPr="000E260F">
              <w:rPr>
                <w:rFonts w:cs="Arial"/>
              </w:rPr>
              <w:t>O</w:t>
            </w:r>
          </w:p>
        </w:tc>
        <w:tc>
          <w:tcPr>
            <w:tcW w:w="1394" w:type="dxa"/>
            <w:shd w:val="clear" w:color="auto" w:fill="D9D9D9" w:themeFill="background1" w:themeFillShade="D9"/>
          </w:tcPr>
          <w:p w14:paraId="18F2A0C9" w14:textId="77777777" w:rsidR="00B52A1D" w:rsidRDefault="00B52A1D" w:rsidP="00B52A1D">
            <w:pPr>
              <w:spacing w:line="240" w:lineRule="auto"/>
              <w:contextualSpacing/>
            </w:pPr>
            <w:r>
              <w:rPr>
                <w:rFonts w:cs="Arial"/>
              </w:rPr>
              <w:t>P</w:t>
            </w:r>
            <w:r w:rsidRPr="000E260F">
              <w:rPr>
                <w:rFonts w:cs="Arial"/>
              </w:rPr>
              <w:t>O</w:t>
            </w:r>
          </w:p>
        </w:tc>
        <w:tc>
          <w:tcPr>
            <w:tcW w:w="1394" w:type="dxa"/>
            <w:shd w:val="clear" w:color="auto" w:fill="D9D9D9" w:themeFill="background1" w:themeFillShade="D9"/>
          </w:tcPr>
          <w:p w14:paraId="2F0EF019" w14:textId="77777777" w:rsidR="00B52A1D" w:rsidRDefault="00B52A1D" w:rsidP="00B52A1D">
            <w:pPr>
              <w:spacing w:line="240" w:lineRule="auto"/>
              <w:contextualSpacing/>
              <w:rPr>
                <w:rFonts w:cs="Arial"/>
              </w:rPr>
            </w:pPr>
            <w:r>
              <w:rPr>
                <w:rFonts w:cs="Arial"/>
              </w:rPr>
              <w:t>PO</w:t>
            </w:r>
          </w:p>
        </w:tc>
        <w:tc>
          <w:tcPr>
            <w:tcW w:w="1394" w:type="dxa"/>
            <w:shd w:val="clear" w:color="auto" w:fill="D9D9D9" w:themeFill="background1" w:themeFillShade="D9"/>
          </w:tcPr>
          <w:p w14:paraId="6B1DC7F2" w14:textId="77777777" w:rsidR="00B52A1D" w:rsidRDefault="00B52A1D" w:rsidP="00B52A1D">
            <w:pPr>
              <w:spacing w:line="240" w:lineRule="auto"/>
              <w:contextualSpacing/>
              <w:rPr>
                <w:rFonts w:cs="Arial"/>
              </w:rPr>
            </w:pPr>
            <w:r>
              <w:rPr>
                <w:rFonts w:cs="Arial"/>
              </w:rPr>
              <w:t>P</w:t>
            </w:r>
            <w:r w:rsidRPr="000E260F">
              <w:rPr>
                <w:rFonts w:cs="Arial"/>
              </w:rPr>
              <w:t>O</w:t>
            </w:r>
          </w:p>
        </w:tc>
        <w:tc>
          <w:tcPr>
            <w:tcW w:w="1394" w:type="dxa"/>
            <w:shd w:val="clear" w:color="auto" w:fill="D9D9D9" w:themeFill="background1" w:themeFillShade="D9"/>
          </w:tcPr>
          <w:p w14:paraId="708C7916" w14:textId="77777777" w:rsidR="00B52A1D" w:rsidRDefault="00B52A1D" w:rsidP="00B52A1D">
            <w:pPr>
              <w:spacing w:line="240" w:lineRule="auto"/>
              <w:contextualSpacing/>
              <w:rPr>
                <w:rFonts w:cs="Arial"/>
              </w:rPr>
            </w:pPr>
            <w:r>
              <w:rPr>
                <w:rFonts w:cs="Arial"/>
              </w:rPr>
              <w:t>P</w:t>
            </w:r>
            <w:r w:rsidRPr="000E260F">
              <w:rPr>
                <w:rFonts w:cs="Arial"/>
              </w:rPr>
              <w:t>O</w:t>
            </w:r>
          </w:p>
        </w:tc>
      </w:tr>
    </w:tbl>
    <w:p w14:paraId="32615585" w14:textId="77777777" w:rsidR="00B52A1D" w:rsidRDefault="00B52A1D" w:rsidP="00B52A1D">
      <w:pPr>
        <w:spacing w:line="240" w:lineRule="auto"/>
        <w:contextualSpacing/>
        <w:rPr>
          <w:rFonts w:cs="Arial"/>
        </w:rPr>
      </w:pPr>
    </w:p>
    <w:p w14:paraId="5B1AA555" w14:textId="77777777" w:rsidR="00B52A1D" w:rsidRDefault="00B52A1D" w:rsidP="00B52A1D">
      <w:pPr>
        <w:spacing w:line="240" w:lineRule="auto"/>
        <w:contextualSpacing/>
        <w:rPr>
          <w:rFonts w:cs="Arial"/>
        </w:rPr>
      </w:pPr>
    </w:p>
    <w:p w14:paraId="28459BCD" w14:textId="77777777" w:rsidR="00B52A1D" w:rsidRDefault="00B52A1D" w:rsidP="00B52A1D">
      <w:pPr>
        <w:spacing w:line="240" w:lineRule="auto"/>
        <w:contextualSpacing/>
        <w:rPr>
          <w:rFonts w:cs="Arial"/>
        </w:rPr>
      </w:pPr>
      <w:r>
        <w:rPr>
          <w:rFonts w:cs="Arial"/>
        </w:rPr>
        <w:t xml:space="preserve">Key: </w:t>
      </w:r>
    </w:p>
    <w:p w14:paraId="1176CCDC" w14:textId="77777777" w:rsidR="00B52A1D" w:rsidRDefault="00B52A1D" w:rsidP="00B52A1D">
      <w:pPr>
        <w:spacing w:line="240" w:lineRule="auto"/>
        <w:contextualSpacing/>
        <w:rPr>
          <w:rFonts w:cs="Arial"/>
        </w:rPr>
      </w:pPr>
    </w:p>
    <w:p w14:paraId="159DCF0B" w14:textId="77777777" w:rsidR="00B52A1D" w:rsidRDefault="00B52A1D" w:rsidP="00B52A1D">
      <w:pPr>
        <w:pStyle w:val="ListParagraph"/>
        <w:spacing w:line="240" w:lineRule="auto"/>
        <w:rPr>
          <w:rFonts w:cs="Arial"/>
        </w:rPr>
      </w:pPr>
      <w:r>
        <w:rPr>
          <w:rFonts w:cs="Arial"/>
        </w:rPr>
        <w:t>PO – Principal Officers</w:t>
      </w:r>
    </w:p>
    <w:p w14:paraId="621C9889" w14:textId="77777777" w:rsidR="00B52A1D" w:rsidRDefault="00B52A1D" w:rsidP="00B52A1D">
      <w:pPr>
        <w:pStyle w:val="ListParagraph"/>
        <w:spacing w:line="240" w:lineRule="auto"/>
        <w:rPr>
          <w:rFonts w:cs="Arial"/>
        </w:rPr>
      </w:pPr>
      <w:r>
        <w:rPr>
          <w:rFonts w:cs="Arial"/>
        </w:rPr>
        <w:t>AM1 – Area Manager 1</w:t>
      </w:r>
    </w:p>
    <w:p w14:paraId="7E149ACE" w14:textId="77777777" w:rsidR="00B52A1D" w:rsidRDefault="00B52A1D" w:rsidP="00B52A1D">
      <w:pPr>
        <w:pStyle w:val="ListParagraph"/>
        <w:spacing w:line="240" w:lineRule="auto"/>
        <w:rPr>
          <w:rFonts w:cs="Arial"/>
        </w:rPr>
      </w:pPr>
      <w:r>
        <w:rPr>
          <w:rFonts w:cs="Arial"/>
        </w:rPr>
        <w:t>AM2 – Area Manager 2</w:t>
      </w:r>
    </w:p>
    <w:p w14:paraId="7783C545" w14:textId="77777777" w:rsidR="00B52A1D" w:rsidRDefault="00B52A1D" w:rsidP="00B52A1D">
      <w:pPr>
        <w:pStyle w:val="ListParagraph"/>
        <w:spacing w:line="240" w:lineRule="auto"/>
        <w:rPr>
          <w:rFonts w:cs="Arial"/>
        </w:rPr>
      </w:pPr>
      <w:r>
        <w:rPr>
          <w:rFonts w:cs="Arial"/>
        </w:rPr>
        <w:t>AM3 – Area Manager 3</w:t>
      </w:r>
    </w:p>
    <w:p w14:paraId="2C1AED0B" w14:textId="20049504" w:rsidR="00835F95" w:rsidRDefault="00835F95" w:rsidP="00B52A1D">
      <w:pPr>
        <w:spacing w:before="120" w:after="120" w:line="240" w:lineRule="auto"/>
        <w:contextualSpacing/>
        <w:jc w:val="both"/>
        <w:rPr>
          <w:rFonts w:cs="Arial"/>
          <w:bCs/>
          <w:color w:val="393938"/>
        </w:rPr>
      </w:pPr>
    </w:p>
    <w:p w14:paraId="6AD58202" w14:textId="1BE9727A" w:rsidR="00835F95" w:rsidRDefault="00835F95" w:rsidP="00B52A1D">
      <w:pPr>
        <w:spacing w:before="120" w:after="120" w:line="240" w:lineRule="auto"/>
        <w:contextualSpacing/>
        <w:jc w:val="both"/>
        <w:rPr>
          <w:rFonts w:cs="Arial"/>
          <w:bCs/>
          <w:color w:val="393938"/>
        </w:rPr>
      </w:pPr>
    </w:p>
    <w:p w14:paraId="65D96D96" w14:textId="614E0754" w:rsidR="00835F95" w:rsidRDefault="00835F95" w:rsidP="00B52A1D">
      <w:pPr>
        <w:spacing w:before="120" w:after="120" w:line="240" w:lineRule="auto"/>
        <w:contextualSpacing/>
        <w:jc w:val="both"/>
        <w:rPr>
          <w:rFonts w:cs="Arial"/>
          <w:bCs/>
          <w:color w:val="393938"/>
        </w:rPr>
      </w:pPr>
    </w:p>
    <w:p w14:paraId="097C1AAE" w14:textId="79182DAB" w:rsidR="00835F95" w:rsidRDefault="00835F95" w:rsidP="00B52A1D">
      <w:pPr>
        <w:spacing w:before="120" w:after="120" w:line="240" w:lineRule="auto"/>
        <w:contextualSpacing/>
        <w:jc w:val="both"/>
        <w:rPr>
          <w:rFonts w:cs="Arial"/>
          <w:bCs/>
          <w:color w:val="393938"/>
        </w:rPr>
      </w:pPr>
    </w:p>
    <w:p w14:paraId="2F9CFC9F" w14:textId="34943136" w:rsidR="00835F95" w:rsidRDefault="00835F95" w:rsidP="00B52A1D">
      <w:pPr>
        <w:spacing w:before="120" w:after="120" w:line="240" w:lineRule="auto"/>
        <w:contextualSpacing/>
        <w:jc w:val="both"/>
        <w:rPr>
          <w:rFonts w:cs="Arial"/>
          <w:bCs/>
          <w:color w:val="393938"/>
        </w:rPr>
      </w:pPr>
    </w:p>
    <w:p w14:paraId="3430A91A" w14:textId="49D42509" w:rsidR="00835F95" w:rsidRDefault="00835F95" w:rsidP="00B52A1D">
      <w:pPr>
        <w:spacing w:before="120" w:after="120" w:line="240" w:lineRule="auto"/>
        <w:contextualSpacing/>
        <w:jc w:val="both"/>
        <w:rPr>
          <w:rFonts w:cs="Arial"/>
          <w:bCs/>
          <w:color w:val="393938"/>
        </w:rPr>
      </w:pPr>
    </w:p>
    <w:p w14:paraId="6A9D94E5" w14:textId="3A661219" w:rsidR="00835F95" w:rsidRDefault="00835F95" w:rsidP="00B52A1D">
      <w:pPr>
        <w:spacing w:before="120" w:after="120" w:line="240" w:lineRule="auto"/>
        <w:contextualSpacing/>
        <w:jc w:val="both"/>
        <w:rPr>
          <w:rFonts w:cs="Arial"/>
          <w:bCs/>
          <w:color w:val="393938"/>
        </w:rPr>
      </w:pPr>
    </w:p>
    <w:p w14:paraId="78D11B0D" w14:textId="0907B6FD" w:rsidR="00835F95" w:rsidRDefault="00835F95" w:rsidP="00B52A1D">
      <w:pPr>
        <w:spacing w:before="120" w:after="120" w:line="240" w:lineRule="auto"/>
        <w:contextualSpacing/>
        <w:jc w:val="both"/>
        <w:rPr>
          <w:rFonts w:cs="Arial"/>
          <w:bCs/>
          <w:color w:val="393938"/>
        </w:rPr>
      </w:pPr>
    </w:p>
    <w:p w14:paraId="0803C5BB" w14:textId="13C544CB" w:rsidR="00835F95" w:rsidRDefault="00835F95" w:rsidP="00B52A1D">
      <w:pPr>
        <w:spacing w:before="120" w:after="120" w:line="240" w:lineRule="auto"/>
        <w:contextualSpacing/>
        <w:jc w:val="both"/>
        <w:rPr>
          <w:rFonts w:cs="Arial"/>
          <w:bCs/>
          <w:color w:val="393938"/>
        </w:rPr>
      </w:pPr>
    </w:p>
    <w:p w14:paraId="11ECD985" w14:textId="77777777" w:rsidR="00835F95" w:rsidRPr="00835F95" w:rsidRDefault="00835F95" w:rsidP="00B52A1D">
      <w:pPr>
        <w:spacing w:before="120" w:after="120" w:line="240" w:lineRule="auto"/>
        <w:contextualSpacing/>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8D026E"/>
    <w:multiLevelType w:val="multilevel"/>
    <w:tmpl w:val="D494D6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1"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5DB"/>
    <w:multiLevelType w:val="hybridMultilevel"/>
    <w:tmpl w:val="BAF4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327949"/>
    <w:multiLevelType w:val="hybridMultilevel"/>
    <w:tmpl w:val="997E0A42"/>
    <w:lvl w:ilvl="0" w:tplc="08090001">
      <w:start w:val="1"/>
      <w:numFmt w:val="bullet"/>
      <w:lvlText w:val=""/>
      <w:lvlJc w:val="left"/>
      <w:pPr>
        <w:ind w:left="2749" w:hanging="360"/>
      </w:pPr>
      <w:rPr>
        <w:rFonts w:ascii="Symbol" w:hAnsi="Symbol" w:hint="default"/>
      </w:rPr>
    </w:lvl>
    <w:lvl w:ilvl="1" w:tplc="08090003" w:tentative="1">
      <w:start w:val="1"/>
      <w:numFmt w:val="bullet"/>
      <w:lvlText w:val="o"/>
      <w:lvlJc w:val="left"/>
      <w:pPr>
        <w:ind w:left="3469" w:hanging="360"/>
      </w:pPr>
      <w:rPr>
        <w:rFonts w:ascii="Courier New" w:hAnsi="Courier New" w:cs="Courier New" w:hint="default"/>
      </w:rPr>
    </w:lvl>
    <w:lvl w:ilvl="2" w:tplc="08090005" w:tentative="1">
      <w:start w:val="1"/>
      <w:numFmt w:val="bullet"/>
      <w:lvlText w:val=""/>
      <w:lvlJc w:val="left"/>
      <w:pPr>
        <w:ind w:left="4189" w:hanging="360"/>
      </w:pPr>
      <w:rPr>
        <w:rFonts w:ascii="Wingdings" w:hAnsi="Wingdings" w:hint="default"/>
      </w:rPr>
    </w:lvl>
    <w:lvl w:ilvl="3" w:tplc="08090001" w:tentative="1">
      <w:start w:val="1"/>
      <w:numFmt w:val="bullet"/>
      <w:lvlText w:val=""/>
      <w:lvlJc w:val="left"/>
      <w:pPr>
        <w:ind w:left="4909" w:hanging="360"/>
      </w:pPr>
      <w:rPr>
        <w:rFonts w:ascii="Symbol" w:hAnsi="Symbol" w:hint="default"/>
      </w:rPr>
    </w:lvl>
    <w:lvl w:ilvl="4" w:tplc="08090003" w:tentative="1">
      <w:start w:val="1"/>
      <w:numFmt w:val="bullet"/>
      <w:lvlText w:val="o"/>
      <w:lvlJc w:val="left"/>
      <w:pPr>
        <w:ind w:left="5629" w:hanging="360"/>
      </w:pPr>
      <w:rPr>
        <w:rFonts w:ascii="Courier New" w:hAnsi="Courier New" w:cs="Courier New" w:hint="default"/>
      </w:rPr>
    </w:lvl>
    <w:lvl w:ilvl="5" w:tplc="08090005" w:tentative="1">
      <w:start w:val="1"/>
      <w:numFmt w:val="bullet"/>
      <w:lvlText w:val=""/>
      <w:lvlJc w:val="left"/>
      <w:pPr>
        <w:ind w:left="6349" w:hanging="360"/>
      </w:pPr>
      <w:rPr>
        <w:rFonts w:ascii="Wingdings" w:hAnsi="Wingdings" w:hint="default"/>
      </w:rPr>
    </w:lvl>
    <w:lvl w:ilvl="6" w:tplc="08090001" w:tentative="1">
      <w:start w:val="1"/>
      <w:numFmt w:val="bullet"/>
      <w:lvlText w:val=""/>
      <w:lvlJc w:val="left"/>
      <w:pPr>
        <w:ind w:left="7069" w:hanging="360"/>
      </w:pPr>
      <w:rPr>
        <w:rFonts w:ascii="Symbol" w:hAnsi="Symbol" w:hint="default"/>
      </w:rPr>
    </w:lvl>
    <w:lvl w:ilvl="7" w:tplc="08090003" w:tentative="1">
      <w:start w:val="1"/>
      <w:numFmt w:val="bullet"/>
      <w:lvlText w:val="o"/>
      <w:lvlJc w:val="left"/>
      <w:pPr>
        <w:ind w:left="7789" w:hanging="360"/>
      </w:pPr>
      <w:rPr>
        <w:rFonts w:ascii="Courier New" w:hAnsi="Courier New" w:cs="Courier New" w:hint="default"/>
      </w:rPr>
    </w:lvl>
    <w:lvl w:ilvl="8" w:tplc="08090005" w:tentative="1">
      <w:start w:val="1"/>
      <w:numFmt w:val="bullet"/>
      <w:lvlText w:val=""/>
      <w:lvlJc w:val="left"/>
      <w:pPr>
        <w:ind w:left="8509" w:hanging="360"/>
      </w:pPr>
      <w:rPr>
        <w:rFonts w:ascii="Wingdings" w:hAnsi="Wingdings" w:hint="default"/>
      </w:rPr>
    </w:lvl>
  </w:abstractNum>
  <w:abstractNum w:abstractNumId="7"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B7812"/>
    <w:multiLevelType w:val="multilevel"/>
    <w:tmpl w:val="B73E61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93EC0"/>
    <w:multiLevelType w:val="multilevel"/>
    <w:tmpl w:val="A386E456"/>
    <w:lvl w:ilvl="0">
      <w:start w:val="1"/>
      <w:numFmt w:val="decimal"/>
      <w:lvlText w:val="%1."/>
      <w:lvlJc w:val="left"/>
      <w:pPr>
        <w:ind w:left="720" w:hanging="360"/>
      </w:pPr>
      <w:rPr>
        <w:rFonts w:hint="default"/>
        <w:color w:val="BB1822" w:themeColor="background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28"/>
  </w:num>
  <w:num w:numId="3" w16cid:durableId="1679310131">
    <w:abstractNumId w:val="21"/>
  </w:num>
  <w:num w:numId="4" w16cid:durableId="2082213094">
    <w:abstractNumId w:val="32"/>
  </w:num>
  <w:num w:numId="5" w16cid:durableId="1279528031">
    <w:abstractNumId w:val="27"/>
  </w:num>
  <w:num w:numId="6" w16cid:durableId="1948728523">
    <w:abstractNumId w:val="29"/>
  </w:num>
  <w:num w:numId="7" w16cid:durableId="1748765981">
    <w:abstractNumId w:val="13"/>
  </w:num>
  <w:num w:numId="8" w16cid:durableId="770470172">
    <w:abstractNumId w:val="24"/>
  </w:num>
  <w:num w:numId="9" w16cid:durableId="801507558">
    <w:abstractNumId w:val="35"/>
  </w:num>
  <w:num w:numId="10" w16cid:durableId="425855461">
    <w:abstractNumId w:val="10"/>
  </w:num>
  <w:num w:numId="11" w16cid:durableId="1868791141">
    <w:abstractNumId w:val="26"/>
  </w:num>
  <w:num w:numId="12" w16cid:durableId="1149713589">
    <w:abstractNumId w:val="22"/>
  </w:num>
  <w:num w:numId="13" w16cid:durableId="1825971133">
    <w:abstractNumId w:val="33"/>
  </w:num>
  <w:num w:numId="14" w16cid:durableId="501628944">
    <w:abstractNumId w:val="18"/>
  </w:num>
  <w:num w:numId="15" w16cid:durableId="742719538">
    <w:abstractNumId w:val="25"/>
  </w:num>
  <w:num w:numId="16" w16cid:durableId="1095250122">
    <w:abstractNumId w:val="12"/>
  </w:num>
  <w:num w:numId="17" w16cid:durableId="812720222">
    <w:abstractNumId w:val="36"/>
  </w:num>
  <w:num w:numId="18" w16cid:durableId="180556028">
    <w:abstractNumId w:val="23"/>
  </w:num>
  <w:num w:numId="19" w16cid:durableId="1160998515">
    <w:abstractNumId w:val="15"/>
  </w:num>
  <w:num w:numId="20" w16cid:durableId="1679581245">
    <w:abstractNumId w:val="16"/>
  </w:num>
  <w:num w:numId="21" w16cid:durableId="100075873">
    <w:abstractNumId w:val="20"/>
  </w:num>
  <w:num w:numId="22" w16cid:durableId="1531411270">
    <w:abstractNumId w:val="34"/>
  </w:num>
  <w:num w:numId="23" w16cid:durableId="1510289084">
    <w:abstractNumId w:val="7"/>
  </w:num>
  <w:num w:numId="24" w16cid:durableId="864752552">
    <w:abstractNumId w:val="3"/>
  </w:num>
  <w:num w:numId="25" w16cid:durableId="1965429499">
    <w:abstractNumId w:val="11"/>
  </w:num>
  <w:num w:numId="26" w16cid:durableId="1476288997">
    <w:abstractNumId w:val="9"/>
  </w:num>
  <w:num w:numId="27" w16cid:durableId="758795727">
    <w:abstractNumId w:val="31"/>
  </w:num>
  <w:num w:numId="28" w16cid:durableId="1819104245">
    <w:abstractNumId w:val="0"/>
  </w:num>
  <w:num w:numId="29" w16cid:durableId="1275988086">
    <w:abstractNumId w:val="38"/>
  </w:num>
  <w:num w:numId="30" w16cid:durableId="327287912">
    <w:abstractNumId w:val="17"/>
  </w:num>
  <w:num w:numId="31" w16cid:durableId="623586424">
    <w:abstractNumId w:val="1"/>
  </w:num>
  <w:num w:numId="32" w16cid:durableId="613251922">
    <w:abstractNumId w:val="30"/>
  </w:num>
  <w:num w:numId="33" w16cid:durableId="90248434">
    <w:abstractNumId w:val="14"/>
  </w:num>
  <w:num w:numId="34" w16cid:durableId="1233462615">
    <w:abstractNumId w:val="19"/>
  </w:num>
  <w:num w:numId="35" w16cid:durableId="1571691033">
    <w:abstractNumId w:val="37"/>
  </w:num>
  <w:num w:numId="36" w16cid:durableId="1882399342">
    <w:abstractNumId w:val="2"/>
  </w:num>
  <w:num w:numId="37" w16cid:durableId="1010256715">
    <w:abstractNumId w:val="6"/>
  </w:num>
  <w:num w:numId="38" w16cid:durableId="1963924427">
    <w:abstractNumId w:val="8"/>
  </w:num>
  <w:num w:numId="39" w16cid:durableId="535658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0B62"/>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5DDF"/>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57973"/>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4252A"/>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2A1D"/>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62E1"/>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table" w:styleId="TableGrid">
    <w:name w:val="Table Grid"/>
    <w:basedOn w:val="TableNormal"/>
    <w:rsid w:val="00D3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1463</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9376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2025-02-21T10:35:00Z</dcterms:created>
  <dcterms:modified xsi:type="dcterms:W3CDTF">2025-02-21T12:55:00Z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