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487DA2DE" w:rsidR="000E2C35" w:rsidRPr="009C6C81" w:rsidRDefault="002A4E4D" w:rsidP="00835F95">
      <w:pPr>
        <w:pStyle w:val="Heading1"/>
      </w:pP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4DC47127">
                <wp:simplePos x="0" y="0"/>
                <wp:positionH relativeFrom="column">
                  <wp:posOffset>4276164</wp:posOffset>
                </wp:positionH>
                <wp:positionV relativeFrom="paragraph">
                  <wp:posOffset>228068</wp:posOffset>
                </wp:positionV>
                <wp:extent cx="2590165" cy="10738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73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3B291F22" w:rsidR="00282847" w:rsidRDefault="002A4E4D" w:rsidP="00835F95">
                            <w:pPr>
                              <w:pStyle w:val="Heading2"/>
                            </w:pPr>
                            <w:r>
                              <w:t>Recruitment, Appointment and Induction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17.95pt;width:203.95pt;height:84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1U+QEAAM4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" filled="f" stroked="f">
                <v:textbox>
                  <w:txbxContent>
                    <w:p w14:paraId="5FE02206" w14:textId="3B291F22" w:rsidR="00282847" w:rsidRDefault="002A4E4D" w:rsidP="00835F95">
                      <w:pPr>
                        <w:pStyle w:val="Heading2"/>
                      </w:pPr>
                      <w:r>
                        <w:t>Recruitment, Appointment and Induction</w:t>
                      </w:r>
                    </w:p>
                  </w:txbxContent>
                </v:textbox>
              </v:shape>
            </w:pict>
          </mc:Fallback>
        </mc:AlternateContent>
      </w:r>
      <w:r w:rsidR="00EB2C8E"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44901691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2A40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>
        <w:rPr>
          <w:noProof/>
        </w:rPr>
        <w:t>Resourcing and Talent</w:t>
      </w:r>
      <w:r w:rsidR="00723434">
        <w:rPr>
          <w:noProof/>
        </w:rPr>
        <w:br/>
      </w:r>
      <w:r w:rsidR="00723434">
        <w:t>P</w:t>
      </w:r>
      <w:r w:rsidR="00D907E6">
        <w:t>rocedure</w:t>
      </w:r>
    </w:p>
    <w:p w14:paraId="0DE52311" w14:textId="61091677" w:rsidR="000E2C35" w:rsidRDefault="000E2C35" w:rsidP="006A2DCC"/>
    <w:p w14:paraId="59A50C4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51DA2F9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D01E832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012AC98C" w:rsidR="00D13FF1" w:rsidRPr="00835F95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cs="Arial"/>
                <w:color w:val="FF0000"/>
              </w:rPr>
              <w:t>Dec 2024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7F8FA779" w:rsidR="00D13FF1" w:rsidRPr="00835F95" w:rsidRDefault="002A4E4D" w:rsidP="002A4E4D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</w:t>
            </w:r>
            <w:r>
              <w:rPr>
                <w:rFonts w:eastAsiaTheme="minorHAnsi"/>
                <w:color w:val="FF0000"/>
                <w:lang w:eastAsia="en-US"/>
              </w:rPr>
              <w:t>ebranded, reviewed team names, and formatted.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01F4" w14:textId="77777777" w:rsidR="00D13FF1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 xml:space="preserve">Ollie </w:t>
            </w:r>
            <w:proofErr w:type="spellStart"/>
            <w:r>
              <w:rPr>
                <w:rFonts w:eastAsiaTheme="minorHAnsi" w:cs="Arial"/>
                <w:color w:val="FF0000"/>
                <w:lang w:eastAsia="en-US"/>
              </w:rPr>
              <w:t>Wruight</w:t>
            </w:r>
            <w:proofErr w:type="spellEnd"/>
            <w:r>
              <w:rPr>
                <w:rFonts w:eastAsiaTheme="minorHAnsi" w:cs="Arial"/>
                <w:color w:val="FF0000"/>
                <w:lang w:eastAsia="en-US"/>
              </w:rPr>
              <w:t xml:space="preserve"> </w:t>
            </w:r>
          </w:p>
          <w:p w14:paraId="3D5BBA31" w14:textId="65ABFB8B" w:rsidR="002A4E4D" w:rsidRPr="00835F95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Resourcing and Talent</w:t>
            </w:r>
          </w:p>
        </w:tc>
      </w:tr>
    </w:tbl>
    <w:p w14:paraId="34CC4324" w14:textId="77777777" w:rsidR="003F4818" w:rsidRDefault="003F4818">
      <w:pPr>
        <w:spacing w:line="240" w:lineRule="auto"/>
      </w:pPr>
    </w:p>
    <w:p w14:paraId="422A990F" w14:textId="77777777" w:rsidR="00EB2C8E" w:rsidRDefault="00EB2C8E" w:rsidP="00EB2C8E">
      <w:pPr>
        <w:spacing w:line="240" w:lineRule="auto"/>
        <w:rPr>
          <w:color w:val="A92530"/>
        </w:rPr>
      </w:pPr>
    </w:p>
    <w:p w14:paraId="2ADC8D7B" w14:textId="77777777" w:rsidR="002A4E4D" w:rsidRDefault="002A4E4D" w:rsidP="00835F95">
      <w:pPr>
        <w:pStyle w:val="Heading3"/>
      </w:pPr>
      <w:r>
        <w:t>Purpose</w:t>
      </w:r>
    </w:p>
    <w:p w14:paraId="2398ED96" w14:textId="77777777" w:rsidR="00D907E6" w:rsidRDefault="00D907E6" w:rsidP="00D907E6">
      <w:pPr>
        <w:tabs>
          <w:tab w:val="num" w:pos="720"/>
        </w:tabs>
        <w:rPr>
          <w:rFonts w:cs="Arial"/>
        </w:rPr>
      </w:pPr>
    </w:p>
    <w:p w14:paraId="33DD9C34" w14:textId="3908D9D1" w:rsidR="00D907E6" w:rsidRPr="00EC0376" w:rsidRDefault="00D907E6" w:rsidP="00D907E6">
      <w:pPr>
        <w:tabs>
          <w:tab w:val="num" w:pos="720"/>
        </w:tabs>
        <w:rPr>
          <w:rFonts w:cs="Arial"/>
        </w:rPr>
      </w:pPr>
      <w:r>
        <w:rPr>
          <w:rFonts w:cs="Arial"/>
        </w:rPr>
        <w:t xml:space="preserve">This procedure applies where people are being recruited to posts with the </w:t>
      </w:r>
      <w:r>
        <w:rPr>
          <w:rFonts w:cs="Arial"/>
        </w:rPr>
        <w:t xml:space="preserve">Service </w:t>
      </w:r>
      <w:r>
        <w:rPr>
          <w:rFonts w:cs="Arial"/>
        </w:rPr>
        <w:t>and should be read in conjunction with the Recruitment, Appointment and Induction policy.</w:t>
      </w:r>
    </w:p>
    <w:p w14:paraId="57BE41BE" w14:textId="77777777" w:rsidR="00D907E6" w:rsidRPr="00EC0376" w:rsidRDefault="00D907E6" w:rsidP="00D907E6">
      <w:pPr>
        <w:rPr>
          <w:rFonts w:cs="Arial"/>
        </w:rPr>
      </w:pPr>
    </w:p>
    <w:p w14:paraId="46583B89" w14:textId="1125765A" w:rsidR="002A4E4D" w:rsidRDefault="00D907E6" w:rsidP="00D907E6">
      <w:pPr>
        <w:rPr>
          <w:rFonts w:cs="Arial"/>
        </w:rPr>
      </w:pPr>
      <w:r>
        <w:rPr>
          <w:rFonts w:cs="Arial"/>
        </w:rPr>
        <w:t>The procedure is intended to support managers and applicants with the aim of ensuring timely recruitment and induction to help maintain council services.</w:t>
      </w:r>
    </w:p>
    <w:p w14:paraId="5B61AF5C" w14:textId="77777777" w:rsidR="002A4E4D" w:rsidRPr="002A4E4D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  <w:rPr>
          <w:rFonts w:cs="Arial"/>
        </w:rPr>
      </w:pPr>
    </w:p>
    <w:p w14:paraId="63B1A90E" w14:textId="3319A87D" w:rsidR="002A4E4D" w:rsidRDefault="002A4E4D" w:rsidP="00835F95">
      <w:pPr>
        <w:pStyle w:val="Heading3"/>
      </w:pPr>
      <w:r>
        <w:t>P</w:t>
      </w:r>
      <w:r w:rsidR="00D907E6">
        <w:t>rocess</w:t>
      </w:r>
    </w:p>
    <w:p w14:paraId="72A18218" w14:textId="77777777" w:rsidR="00D907E6" w:rsidRPr="00D907E6" w:rsidRDefault="00D907E6" w:rsidP="00D907E6"/>
    <w:p w14:paraId="059C1170" w14:textId="77777777" w:rsidR="00D907E6" w:rsidRPr="00D907E6" w:rsidRDefault="00D907E6" w:rsidP="00D907E6">
      <w:pPr>
        <w:pStyle w:val="next"/>
        <w:numPr>
          <w:ilvl w:val="0"/>
          <w:numId w:val="36"/>
        </w:numPr>
        <w:spacing w:after="0"/>
        <w:ind w:left="567" w:hanging="567"/>
        <w:rPr>
          <w:b/>
          <w:bCs/>
        </w:rPr>
      </w:pPr>
      <w:r w:rsidRPr="00D907E6">
        <w:rPr>
          <w:b/>
          <w:bCs/>
          <w:szCs w:val="24"/>
        </w:rPr>
        <w:t>Vacancy Management</w:t>
      </w:r>
    </w:p>
    <w:p w14:paraId="4F5597A1" w14:textId="77777777" w:rsidR="00D907E6" w:rsidRDefault="00D907E6" w:rsidP="00D907E6">
      <w:pPr>
        <w:pStyle w:val="next"/>
        <w:spacing w:after="0"/>
      </w:pPr>
      <w:r>
        <w:t>Recruiting managers are responsible for ensuring consideration is given to alternative resourcing options and that the relevant approval is obtained before commencing recruitment to a vacant post.</w:t>
      </w:r>
    </w:p>
    <w:p w14:paraId="21A6E032" w14:textId="77777777" w:rsidR="00D907E6" w:rsidRPr="00006848" w:rsidRDefault="00D907E6" w:rsidP="00D907E6">
      <w:pPr>
        <w:pStyle w:val="next"/>
        <w:spacing w:after="0"/>
        <w:ind w:left="567"/>
      </w:pPr>
    </w:p>
    <w:p w14:paraId="19F39670" w14:textId="77777777" w:rsidR="00D907E6" w:rsidRPr="00D907E6" w:rsidRDefault="00D907E6" w:rsidP="00D907E6">
      <w:pPr>
        <w:pStyle w:val="next"/>
        <w:numPr>
          <w:ilvl w:val="0"/>
          <w:numId w:val="36"/>
        </w:numPr>
        <w:spacing w:after="0"/>
        <w:ind w:left="567" w:hanging="567"/>
        <w:rPr>
          <w:b/>
          <w:bCs/>
        </w:rPr>
      </w:pPr>
      <w:r w:rsidRPr="00D907E6">
        <w:rPr>
          <w:b/>
          <w:bCs/>
          <w:szCs w:val="24"/>
        </w:rPr>
        <w:t>Recruitment Advertising and Selection</w:t>
      </w:r>
    </w:p>
    <w:p w14:paraId="65ED0AAC" w14:textId="77777777" w:rsidR="00D907E6" w:rsidRDefault="00D907E6" w:rsidP="00D907E6">
      <w:pPr>
        <w:pStyle w:val="next"/>
        <w:spacing w:after="0"/>
      </w:pPr>
      <w:r>
        <w:t>All advertising and selection procedures must conform to Equality legislation and be fair and transparent.</w:t>
      </w:r>
      <w:r w:rsidRPr="00D907E6">
        <w:t xml:space="preserve"> </w:t>
      </w:r>
      <w:r>
        <w:t>The procedures followed will also ensure that employees who may be at</w:t>
      </w:r>
      <w:r>
        <w:t xml:space="preserve"> </w:t>
      </w:r>
      <w:r>
        <w:t>risk of redundancy or are unable to continue in their current role due to illness or disability, are able to secure alternative employment within the council.</w:t>
      </w:r>
    </w:p>
    <w:p w14:paraId="51BF4E76" w14:textId="77777777" w:rsidR="00D907E6" w:rsidRDefault="00D907E6" w:rsidP="00D907E6">
      <w:pPr>
        <w:pStyle w:val="next"/>
        <w:spacing w:after="0"/>
        <w:ind w:left="567"/>
      </w:pPr>
    </w:p>
    <w:p w14:paraId="3331E6E0" w14:textId="77777777" w:rsidR="00D907E6" w:rsidRDefault="00D907E6" w:rsidP="00D907E6">
      <w:pPr>
        <w:pStyle w:val="next"/>
        <w:spacing w:after="0"/>
      </w:pPr>
      <w:r>
        <w:t>Recruiting managers are expected to maintain accurate written records throughout the recruitment process.</w:t>
      </w:r>
    </w:p>
    <w:p w14:paraId="0AE6746B" w14:textId="1C72E955" w:rsidR="00D907E6" w:rsidRDefault="00D907E6" w:rsidP="00D907E6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</w:pPr>
    </w:p>
    <w:p w14:paraId="620D8189" w14:textId="77777777" w:rsidR="00D907E6" w:rsidRPr="00D907E6" w:rsidRDefault="00D907E6" w:rsidP="00D907E6">
      <w:pPr>
        <w:pStyle w:val="next"/>
        <w:numPr>
          <w:ilvl w:val="0"/>
          <w:numId w:val="36"/>
        </w:numPr>
        <w:spacing w:after="0"/>
        <w:ind w:left="567" w:hanging="567"/>
        <w:rPr>
          <w:b/>
          <w:bCs/>
        </w:rPr>
      </w:pPr>
      <w:r w:rsidRPr="00D907E6">
        <w:rPr>
          <w:b/>
          <w:bCs/>
          <w:szCs w:val="24"/>
        </w:rPr>
        <w:t>Appointment – Pre-employment checks</w:t>
      </w:r>
    </w:p>
    <w:p w14:paraId="3B2F52EA" w14:textId="77777777" w:rsidR="00D907E6" w:rsidRDefault="00D907E6" w:rsidP="00D907E6">
      <w:pPr>
        <w:pStyle w:val="next"/>
        <w:spacing w:after="0"/>
        <w:rPr>
          <w:szCs w:val="24"/>
        </w:rPr>
      </w:pPr>
      <w:r>
        <w:rPr>
          <w:szCs w:val="24"/>
        </w:rPr>
        <w:t>Offers of employment are subject to the satisfactory completion of pre-employment checks and managers must not allow applicants to commence employment before these are confirmed.</w:t>
      </w:r>
    </w:p>
    <w:p w14:paraId="1B4A7158" w14:textId="77777777" w:rsidR="00D907E6" w:rsidRDefault="00D907E6" w:rsidP="00D907E6">
      <w:pPr>
        <w:pStyle w:val="next"/>
        <w:spacing w:after="0"/>
        <w:rPr>
          <w:szCs w:val="24"/>
        </w:rPr>
      </w:pPr>
    </w:p>
    <w:p w14:paraId="2E13F9BB" w14:textId="77777777" w:rsidR="00D907E6" w:rsidRPr="00006848" w:rsidRDefault="00D907E6" w:rsidP="00D907E6">
      <w:pPr>
        <w:pStyle w:val="next"/>
        <w:spacing w:after="0"/>
        <w:ind w:left="567"/>
      </w:pPr>
    </w:p>
    <w:p w14:paraId="4F603B99" w14:textId="77777777" w:rsidR="00D907E6" w:rsidRPr="00D907E6" w:rsidRDefault="00D907E6" w:rsidP="00D907E6">
      <w:pPr>
        <w:pStyle w:val="next"/>
        <w:numPr>
          <w:ilvl w:val="0"/>
          <w:numId w:val="36"/>
        </w:numPr>
        <w:spacing w:after="0"/>
        <w:ind w:left="567" w:hanging="567"/>
        <w:rPr>
          <w:b/>
          <w:bCs/>
        </w:rPr>
      </w:pPr>
      <w:r w:rsidRPr="00D907E6">
        <w:rPr>
          <w:b/>
          <w:bCs/>
          <w:szCs w:val="24"/>
        </w:rPr>
        <w:t xml:space="preserve">Induction </w:t>
      </w:r>
    </w:p>
    <w:p w14:paraId="39DB2D0E" w14:textId="1FF8E9B9" w:rsidR="00D907E6" w:rsidRPr="00656EE6" w:rsidRDefault="00D907E6" w:rsidP="00D907E6">
      <w:pPr>
        <w:pStyle w:val="next"/>
        <w:spacing w:after="0"/>
      </w:pPr>
      <w:r>
        <w:t xml:space="preserve">The Induction process should be followed to enable people to become engaged in their work in the </w:t>
      </w:r>
      <w:r>
        <w:t>Service</w:t>
      </w:r>
      <w:r>
        <w:t>.</w:t>
      </w:r>
    </w:p>
    <w:p w14:paraId="285C4F13" w14:textId="77777777" w:rsidR="00D907E6" w:rsidRDefault="00D907E6" w:rsidP="00D907E6">
      <w:pPr>
        <w:pStyle w:val="next"/>
        <w:spacing w:after="0"/>
      </w:pPr>
    </w:p>
    <w:p w14:paraId="78524F56" w14:textId="31B09173" w:rsidR="00D907E6" w:rsidRPr="00D907E6" w:rsidRDefault="00D907E6" w:rsidP="00D907E6">
      <w:pPr>
        <w:numPr>
          <w:ilvl w:val="0"/>
          <w:numId w:val="36"/>
        </w:numPr>
        <w:spacing w:line="240" w:lineRule="auto"/>
        <w:ind w:left="567" w:hanging="567"/>
        <w:rPr>
          <w:rFonts w:cs="Arial"/>
          <w:b/>
          <w:bCs/>
        </w:rPr>
      </w:pPr>
      <w:r w:rsidRPr="00D907E6">
        <w:rPr>
          <w:rFonts w:cs="Arial"/>
          <w:b/>
          <w:bCs/>
        </w:rPr>
        <w:t xml:space="preserve">Process </w:t>
      </w:r>
    </w:p>
    <w:p w14:paraId="08BA825E" w14:textId="42B34BAB" w:rsidR="00D907E6" w:rsidRDefault="00D907E6" w:rsidP="00D907E6">
      <w:pPr>
        <w:spacing w:line="240" w:lineRule="auto"/>
        <w:rPr>
          <w:rFonts w:cs="Arial"/>
        </w:rPr>
      </w:pPr>
      <w:r>
        <w:rPr>
          <w:rFonts w:cs="Arial"/>
        </w:rPr>
        <w:t xml:space="preserve">Detailed guidance </w:t>
      </w:r>
      <w:r>
        <w:rPr>
          <w:rFonts w:cs="Arial"/>
        </w:rPr>
        <w:t xml:space="preserve">is </w:t>
      </w:r>
      <w:r>
        <w:rPr>
          <w:rFonts w:cs="Arial"/>
        </w:rPr>
        <w:t>provided to enable managers and employees comply with this procedure.</w:t>
      </w:r>
      <w:r>
        <w:rPr>
          <w:rFonts w:cs="Arial"/>
        </w:rPr>
        <w:t xml:space="preserve"> This can be found in the </w:t>
      </w:r>
      <w:r w:rsidRPr="00D907E6">
        <w:rPr>
          <w:rFonts w:cs="Arial"/>
          <w:b/>
          <w:bCs/>
          <w:color w:val="C00000"/>
        </w:rPr>
        <w:t xml:space="preserve">Resourcing and Talent </w:t>
      </w:r>
      <w:proofErr w:type="spellStart"/>
      <w:r w:rsidRPr="00D907E6">
        <w:rPr>
          <w:rFonts w:cs="Arial"/>
          <w:b/>
          <w:bCs/>
          <w:color w:val="C00000"/>
        </w:rPr>
        <w:t>Gudiance</w:t>
      </w:r>
      <w:proofErr w:type="spellEnd"/>
      <w:r w:rsidRPr="00D907E6">
        <w:rPr>
          <w:rFonts w:cs="Arial"/>
          <w:b/>
          <w:bCs/>
          <w:color w:val="C00000"/>
        </w:rPr>
        <w:t xml:space="preserve"> </w:t>
      </w:r>
      <w:r>
        <w:rPr>
          <w:rFonts w:cs="Arial"/>
        </w:rPr>
        <w:t xml:space="preserve">document. </w:t>
      </w:r>
    </w:p>
    <w:p w14:paraId="6193F809" w14:textId="77777777" w:rsidR="00D907E6" w:rsidRPr="00D907E6" w:rsidRDefault="00D907E6" w:rsidP="00D907E6">
      <w:pPr>
        <w:spacing w:line="240" w:lineRule="auto"/>
        <w:rPr>
          <w:rFonts w:cs="Arial"/>
        </w:rPr>
      </w:pPr>
    </w:p>
    <w:p w14:paraId="1C4408C7" w14:textId="760957F1" w:rsidR="00D907E6" w:rsidRDefault="002A4E4D" w:rsidP="00D907E6">
      <w:pPr>
        <w:pStyle w:val="Heading3"/>
      </w:pPr>
      <w:r w:rsidRPr="00D907E6">
        <w:t xml:space="preserve"> </w:t>
      </w:r>
      <w:r w:rsidR="00D907E6">
        <w:t xml:space="preserve">Responsibilities </w:t>
      </w:r>
    </w:p>
    <w:p w14:paraId="4DC7F105" w14:textId="77777777" w:rsidR="00D907E6" w:rsidRDefault="00D907E6" w:rsidP="00D907E6">
      <w:pPr>
        <w:ind w:left="1140" w:hanging="1140"/>
        <w:rPr>
          <w:rFonts w:cs="Arial"/>
        </w:rPr>
      </w:pPr>
    </w:p>
    <w:p w14:paraId="5D61BA41" w14:textId="15C8A754" w:rsidR="00D907E6" w:rsidRPr="00D96BBE" w:rsidRDefault="00D907E6" w:rsidP="00D907E6">
      <w:pPr>
        <w:ind w:left="1140" w:hanging="1140"/>
        <w:rPr>
          <w:rFonts w:cs="Arial"/>
        </w:rPr>
      </w:pPr>
      <w:r w:rsidRPr="00D96BBE">
        <w:rPr>
          <w:rFonts w:cs="Arial"/>
        </w:rPr>
        <w:t>Managers will:</w:t>
      </w:r>
    </w:p>
    <w:p w14:paraId="0933373E" w14:textId="77777777" w:rsidR="00D907E6" w:rsidRPr="0037246A" w:rsidRDefault="00D907E6" w:rsidP="00D907E6">
      <w:pPr>
        <w:rPr>
          <w:rFonts w:cs="Arial"/>
          <w:sz w:val="8"/>
          <w:szCs w:val="8"/>
        </w:rPr>
      </w:pPr>
    </w:p>
    <w:p w14:paraId="0CDB0105" w14:textId="77777777" w:rsidR="00D907E6" w:rsidRPr="00D96BBE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>Ensure</w:t>
      </w:r>
      <w:r>
        <w:rPr>
          <w:rFonts w:cs="Arial"/>
        </w:rPr>
        <w:t xml:space="preserve"> there is at least one appropriately trained person on the selection panel and that others </w:t>
      </w:r>
      <w:r w:rsidRPr="00D96BBE">
        <w:rPr>
          <w:rFonts w:cs="Arial"/>
        </w:rPr>
        <w:t xml:space="preserve">engaged in the recruitment process have </w:t>
      </w:r>
      <w:r>
        <w:rPr>
          <w:rFonts w:cs="Arial"/>
        </w:rPr>
        <w:t>read and understood the policy and guidance</w:t>
      </w:r>
    </w:p>
    <w:p w14:paraId="48C2D8D5" w14:textId="77777777" w:rsidR="00D907E6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>Maintain accurate written records of selection procedures for all applicants</w:t>
      </w:r>
    </w:p>
    <w:p w14:paraId="44E19E4C" w14:textId="77777777" w:rsidR="00D907E6" w:rsidRPr="00D96BBE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 xml:space="preserve">Treat all applicants fairly </w:t>
      </w:r>
    </w:p>
    <w:p w14:paraId="1E829C42" w14:textId="77777777" w:rsidR="00D907E6" w:rsidRPr="00D96BBE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>Be prepared to give unsuccessful applicants constructive feedback</w:t>
      </w:r>
    </w:p>
    <w:p w14:paraId="13B150DE" w14:textId="71BA0F0B" w:rsidR="00D907E6" w:rsidRPr="00D96BBE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 xml:space="preserve">Seek advice from </w:t>
      </w:r>
      <w:proofErr w:type="spellStart"/>
      <w:r>
        <w:rPr>
          <w:rFonts w:cs="Arial"/>
        </w:rPr>
        <w:t>Resourcign</w:t>
      </w:r>
      <w:proofErr w:type="spellEnd"/>
      <w:r>
        <w:rPr>
          <w:rFonts w:cs="Arial"/>
        </w:rPr>
        <w:t xml:space="preserve"> and Talent </w:t>
      </w:r>
      <w:r w:rsidRPr="00D96BBE">
        <w:rPr>
          <w:rFonts w:cs="Arial"/>
        </w:rPr>
        <w:t>where necessary</w:t>
      </w:r>
    </w:p>
    <w:p w14:paraId="147813AB" w14:textId="77777777" w:rsidR="00D907E6" w:rsidRPr="00D96BBE" w:rsidRDefault="00D907E6" w:rsidP="00D907E6">
      <w:pPr>
        <w:pStyle w:val="ListParagraph"/>
        <w:spacing w:line="240" w:lineRule="auto"/>
        <w:ind w:left="1080"/>
        <w:rPr>
          <w:rFonts w:cs="Arial"/>
        </w:rPr>
      </w:pPr>
    </w:p>
    <w:p w14:paraId="5D973161" w14:textId="31E91780" w:rsidR="00D907E6" w:rsidRPr="00D96BBE" w:rsidRDefault="00D907E6" w:rsidP="00D907E6">
      <w:pPr>
        <w:ind w:left="1140" w:hanging="1140"/>
        <w:rPr>
          <w:rFonts w:cs="Arial"/>
        </w:rPr>
      </w:pPr>
      <w:r>
        <w:rPr>
          <w:rFonts w:cs="Arial"/>
        </w:rPr>
        <w:t>Resourcing and Talent will:</w:t>
      </w:r>
    </w:p>
    <w:p w14:paraId="0C4E412A" w14:textId="77777777" w:rsidR="00D907E6" w:rsidRPr="00D96BBE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 w:rsidRPr="00D96BBE">
        <w:rPr>
          <w:rFonts w:cs="Arial"/>
        </w:rPr>
        <w:t>Provide advice and support to managers and employees where necessary</w:t>
      </w:r>
    </w:p>
    <w:p w14:paraId="3126A374" w14:textId="77777777" w:rsidR="00D907E6" w:rsidRDefault="00D907E6" w:rsidP="00D907E6">
      <w:pPr>
        <w:pStyle w:val="ListParagraph"/>
        <w:numPr>
          <w:ilvl w:val="0"/>
          <w:numId w:val="37"/>
        </w:numPr>
        <w:spacing w:line="240" w:lineRule="auto"/>
        <w:rPr>
          <w:rFonts w:cs="Arial"/>
        </w:rPr>
      </w:pPr>
      <w:r>
        <w:rPr>
          <w:rFonts w:cs="Arial"/>
        </w:rPr>
        <w:t>Work closely with managers and applicants to ensure all recruitment is administered in a timely manner to reduce delays to appointments</w:t>
      </w:r>
    </w:p>
    <w:p w14:paraId="32595FA6" w14:textId="77777777" w:rsidR="00D907E6" w:rsidRPr="00955B37" w:rsidRDefault="00D907E6" w:rsidP="00D907E6">
      <w:pPr>
        <w:rPr>
          <w:rFonts w:cs="Arial"/>
        </w:rPr>
      </w:pPr>
    </w:p>
    <w:p w14:paraId="29B73A39" w14:textId="050AB6C5" w:rsidR="00D907E6" w:rsidRPr="00955B37" w:rsidRDefault="00D907E6" w:rsidP="00D907E6">
      <w:pPr>
        <w:rPr>
          <w:rFonts w:cs="Arial"/>
        </w:rPr>
      </w:pPr>
      <w:r w:rsidRPr="00955B37">
        <w:rPr>
          <w:rFonts w:cs="Arial"/>
        </w:rPr>
        <w:t xml:space="preserve">Should further clarification be required in relation to the process please contact </w:t>
      </w:r>
      <w:r>
        <w:rPr>
          <w:rFonts w:cs="Arial"/>
        </w:rPr>
        <w:t>the</w:t>
      </w:r>
      <w:r w:rsidRPr="00955B37">
        <w:rPr>
          <w:rFonts w:cs="Arial"/>
        </w:rPr>
        <w:t xml:space="preserve"> </w:t>
      </w:r>
      <w:r>
        <w:rPr>
          <w:rFonts w:cs="Arial"/>
        </w:rPr>
        <w:t xml:space="preserve">Resourcing and Talent team. </w:t>
      </w:r>
      <w:r w:rsidRPr="00955B37">
        <w:rPr>
          <w:rFonts w:cs="Arial"/>
        </w:rPr>
        <w:t xml:space="preserve"> </w:t>
      </w:r>
    </w:p>
    <w:p w14:paraId="75416B27" w14:textId="77777777" w:rsidR="00D907E6" w:rsidRDefault="00D907E6" w:rsidP="00D907E6">
      <w:pPr>
        <w:spacing w:line="240" w:lineRule="auto"/>
        <w:rPr>
          <w:rFonts w:cs="Arial"/>
          <w:iCs/>
        </w:rPr>
      </w:pPr>
    </w:p>
    <w:p w14:paraId="42415177" w14:textId="77777777" w:rsidR="00D907E6" w:rsidRDefault="00D907E6" w:rsidP="00D907E6"/>
    <w:p w14:paraId="2D7EB028" w14:textId="77777777" w:rsidR="00D907E6" w:rsidRPr="00D907E6" w:rsidRDefault="00D907E6" w:rsidP="00D907E6"/>
    <w:p w14:paraId="11ECD985" w14:textId="7911793B" w:rsidR="00835F95" w:rsidRPr="00835F95" w:rsidRDefault="00835F95" w:rsidP="00D907E6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64940CAA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</w:t>
    </w:r>
    <w:r w:rsidR="0064303C" w:rsidRPr="00D907E6">
      <w:rPr>
        <w:rFonts w:cs="Arial"/>
        <w:b/>
        <w:color w:val="2C2F2E"/>
        <w:sz w:val="18"/>
        <w:szCs w:val="18"/>
      </w:rPr>
      <w:t xml:space="preserve">                                      </w:t>
    </w:r>
    <w:r w:rsidR="0064303C" w:rsidRPr="00D907E6">
      <w:rPr>
        <w:rFonts w:cs="Arial"/>
        <w:b/>
        <w:color w:val="2C2F2E"/>
        <w:sz w:val="14"/>
        <w:szCs w:val="14"/>
      </w:rPr>
      <w:t xml:space="preserve">                              </w:t>
    </w:r>
    <w:r w:rsidR="002A4E4D" w:rsidRPr="00D907E6">
      <w:rPr>
        <w:rFonts w:cs="Arial"/>
        <w:b/>
        <w:color w:val="2C2F2E"/>
        <w:sz w:val="14"/>
        <w:szCs w:val="14"/>
      </w:rPr>
      <w:t>Recruitment, Appointment, and Induction P</w:t>
    </w:r>
    <w:r w:rsidR="00D907E6" w:rsidRPr="00D907E6">
      <w:rPr>
        <w:rFonts w:cs="Arial"/>
        <w:b/>
        <w:color w:val="2C2F2E"/>
        <w:sz w:val="14"/>
        <w:szCs w:val="14"/>
      </w:rPr>
      <w:t>rocedure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62D3"/>
    <w:multiLevelType w:val="hybridMultilevel"/>
    <w:tmpl w:val="02C6C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33D40B3"/>
    <w:multiLevelType w:val="hybridMultilevel"/>
    <w:tmpl w:val="B558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7"/>
  </w:num>
  <w:num w:numId="3" w16cid:durableId="1679310131">
    <w:abstractNumId w:val="18"/>
  </w:num>
  <w:num w:numId="4" w16cid:durableId="2082213094">
    <w:abstractNumId w:val="31"/>
  </w:num>
  <w:num w:numId="5" w16cid:durableId="1279528031">
    <w:abstractNumId w:val="26"/>
  </w:num>
  <w:num w:numId="6" w16cid:durableId="1948728523">
    <w:abstractNumId w:val="28"/>
  </w:num>
  <w:num w:numId="7" w16cid:durableId="1748765981">
    <w:abstractNumId w:val="9"/>
  </w:num>
  <w:num w:numId="8" w16cid:durableId="770470172">
    <w:abstractNumId w:val="22"/>
  </w:num>
  <w:num w:numId="9" w16cid:durableId="801507558">
    <w:abstractNumId w:val="34"/>
  </w:num>
  <w:num w:numId="10" w16cid:durableId="425855461">
    <w:abstractNumId w:val="6"/>
  </w:num>
  <w:num w:numId="11" w16cid:durableId="1868791141">
    <w:abstractNumId w:val="24"/>
  </w:num>
  <w:num w:numId="12" w16cid:durableId="1149713589">
    <w:abstractNumId w:val="19"/>
  </w:num>
  <w:num w:numId="13" w16cid:durableId="1825971133">
    <w:abstractNumId w:val="32"/>
  </w:num>
  <w:num w:numId="14" w16cid:durableId="501628944">
    <w:abstractNumId w:val="14"/>
  </w:num>
  <w:num w:numId="15" w16cid:durableId="742719538">
    <w:abstractNumId w:val="23"/>
  </w:num>
  <w:num w:numId="16" w16cid:durableId="1095250122">
    <w:abstractNumId w:val="8"/>
  </w:num>
  <w:num w:numId="17" w16cid:durableId="812720222">
    <w:abstractNumId w:val="35"/>
  </w:num>
  <w:num w:numId="18" w16cid:durableId="180556028">
    <w:abstractNumId w:val="20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7"/>
  </w:num>
  <w:num w:numId="22" w16cid:durableId="1531411270">
    <w:abstractNumId w:val="33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30"/>
  </w:num>
  <w:num w:numId="28" w16cid:durableId="1819104245">
    <w:abstractNumId w:val="0"/>
  </w:num>
  <w:num w:numId="29" w16cid:durableId="1275988086">
    <w:abstractNumId w:val="36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9"/>
  </w:num>
  <w:num w:numId="33" w16cid:durableId="90248434">
    <w:abstractNumId w:val="10"/>
  </w:num>
  <w:num w:numId="34" w16cid:durableId="1233462615">
    <w:abstractNumId w:val="15"/>
  </w:num>
  <w:num w:numId="35" w16cid:durableId="1163086706">
    <w:abstractNumId w:val="25"/>
  </w:num>
  <w:num w:numId="36" w16cid:durableId="80875593">
    <w:abstractNumId w:val="21"/>
  </w:num>
  <w:num w:numId="37" w16cid:durableId="341854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27947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4E4D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9744B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07E6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efault">
    <w:name w:val="Default"/>
    <w:rsid w:val="002A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ext">
    <w:name w:val="next"/>
    <w:basedOn w:val="ListNumber"/>
    <w:rsid w:val="00D907E6"/>
    <w:pPr>
      <w:numPr>
        <w:numId w:val="0"/>
      </w:numPr>
      <w:overflowPunct w:val="0"/>
      <w:autoSpaceDE w:val="0"/>
      <w:autoSpaceDN w:val="0"/>
      <w:adjustRightInd w:val="0"/>
      <w:spacing w:after="240" w:line="240" w:lineRule="auto"/>
      <w:contextualSpacing w:val="0"/>
      <w:textAlignment w:val="baseline"/>
    </w:pPr>
    <w:rPr>
      <w:szCs w:val="20"/>
      <w:lang w:eastAsia="en-US"/>
    </w:rPr>
  </w:style>
  <w:style w:type="paragraph" w:styleId="ListNumber">
    <w:name w:val="List Number"/>
    <w:basedOn w:val="Normal"/>
    <w:rsid w:val="00D907E6"/>
    <w:pPr>
      <w:numPr>
        <w:numId w:val="36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D907E6"/>
    <w:rPr>
      <w:rFonts w:ascii="Arial Black" w:hAnsi="Arial Black" w:cs="Arial"/>
      <w:b/>
      <w:bCs/>
      <w:color w:val="BB182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  <ds:schemaRef ds:uri="d825955d-c47e-4fd7-8874-018c5c37d6f9"/>
  </ds:schemaRefs>
</ds:datastoreItem>
</file>

<file path=customXml/itemProps2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2526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2025-01-16T15:23:00Z</dcterms:created>
  <dcterms:modified xsi:type="dcterms:W3CDTF">2025-01-16T15:23:00Z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