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0643AE74" w:rsidR="000E2C35" w:rsidRPr="009C6C81" w:rsidRDefault="00EB2C8E" w:rsidP="00835F95">
      <w:pPr>
        <w:pStyle w:val="Heading1"/>
      </w:pPr>
      <w:r>
        <w:rPr>
          <w:color w:val="A92530"/>
        </w:rPr>
        <w:br/>
      </w:r>
      <w:r w:rsidRPr="009C6C81">
        <w:rPr>
          <w:noProof/>
        </w:rPr>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6BF32"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9C6C81">
        <w:rPr>
          <w:noProof/>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2AA13731" w14:textId="77777777" w:rsidR="000210DC" w:rsidRPr="000210DC" w:rsidRDefault="000210DC" w:rsidP="00835F95">
                            <w:pPr>
                              <w:pStyle w:val="Heading2"/>
                              <w:rPr>
                                <w:sz w:val="36"/>
                                <w:szCs w:val="36"/>
                              </w:rPr>
                            </w:pPr>
                            <w:r w:rsidRPr="000210DC">
                              <w:rPr>
                                <w:sz w:val="36"/>
                                <w:szCs w:val="36"/>
                              </w:rPr>
                              <w:t xml:space="preserve">Ill Health Retirement </w:t>
                            </w:r>
                          </w:p>
                          <w:p w14:paraId="5FE02206" w14:textId="6AAA8445" w:rsidR="00282847" w:rsidRPr="000210DC" w:rsidRDefault="000210DC" w:rsidP="00835F95">
                            <w:pPr>
                              <w:pStyle w:val="Heading2"/>
                              <w:rPr>
                                <w:sz w:val="36"/>
                                <w:szCs w:val="36"/>
                              </w:rPr>
                            </w:pPr>
                            <w:r w:rsidRPr="000210DC">
                              <w:rPr>
                                <w:sz w:val="36"/>
                                <w:szCs w:val="36"/>
                              </w:rPr>
                              <w:t>LGPS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2AA13731" w14:textId="77777777" w:rsidR="000210DC" w:rsidRPr="000210DC" w:rsidRDefault="000210DC" w:rsidP="00835F95">
                      <w:pPr>
                        <w:pStyle w:val="Heading2"/>
                        <w:rPr>
                          <w:sz w:val="36"/>
                          <w:szCs w:val="36"/>
                        </w:rPr>
                      </w:pPr>
                      <w:r w:rsidRPr="000210DC">
                        <w:rPr>
                          <w:sz w:val="36"/>
                          <w:szCs w:val="36"/>
                        </w:rPr>
                        <w:t xml:space="preserve">Ill Health Retirement </w:t>
                      </w:r>
                    </w:p>
                    <w:p w14:paraId="5FE02206" w14:textId="6AAA8445" w:rsidR="00282847" w:rsidRPr="000210DC" w:rsidRDefault="000210DC" w:rsidP="00835F95">
                      <w:pPr>
                        <w:pStyle w:val="Heading2"/>
                        <w:rPr>
                          <w:sz w:val="36"/>
                          <w:szCs w:val="36"/>
                        </w:rPr>
                      </w:pPr>
                      <w:r w:rsidRPr="000210DC">
                        <w:rPr>
                          <w:sz w:val="36"/>
                          <w:szCs w:val="36"/>
                        </w:rPr>
                        <w:t>LGPS</w:t>
                      </w:r>
                    </w:p>
                  </w:txbxContent>
                </v:textbox>
              </v:shape>
            </w:pict>
          </mc:Fallback>
        </mc:AlternateContent>
      </w:r>
      <w:r w:rsidR="000210DC">
        <w:rPr>
          <w:noProof/>
        </w:rPr>
        <w:t>HR Department</w:t>
      </w:r>
      <w:r w:rsidR="00723434">
        <w:rPr>
          <w:noProof/>
        </w:rPr>
        <w:br/>
      </w:r>
      <w:r w:rsidRPr="009C6C81">
        <w:t>Procedure</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335CD" w14:textId="4E4CA58E" w:rsidR="00D13FF1" w:rsidRDefault="00D13FF1" w:rsidP="002E00D6">
            <w:pPr>
              <w:spacing w:line="276" w:lineRule="auto"/>
              <w:jc w:val="center"/>
              <w:rPr>
                <w:rFonts w:cs="Arial"/>
                <w:color w:val="FF0000"/>
              </w:rPr>
            </w:pPr>
            <w:r w:rsidRPr="00835F95">
              <w:rPr>
                <w:rFonts w:cs="Arial"/>
                <w:color w:val="FF0000"/>
              </w:rPr>
              <w:t xml:space="preserve">Version </w:t>
            </w:r>
            <w:r w:rsidR="002E00D6">
              <w:rPr>
                <w:rFonts w:cs="Arial"/>
                <w:color w:val="FF0000"/>
              </w:rPr>
              <w:t>2</w:t>
            </w:r>
          </w:p>
          <w:p w14:paraId="1033F7E5" w14:textId="4176D434" w:rsidR="002E00D6" w:rsidRDefault="002E00D6" w:rsidP="002E00D6">
            <w:pPr>
              <w:spacing w:line="276" w:lineRule="auto"/>
              <w:jc w:val="center"/>
              <w:rPr>
                <w:rFonts w:cs="Arial"/>
                <w:color w:val="FF0000"/>
              </w:rPr>
            </w:pPr>
            <w:r>
              <w:rPr>
                <w:rFonts w:cs="Arial"/>
                <w:color w:val="FF0000"/>
              </w:rPr>
              <w:t>Aug 2018</w:t>
            </w:r>
          </w:p>
          <w:p w14:paraId="0B3A911E" w14:textId="5F70534A" w:rsidR="002E00D6" w:rsidRPr="002E00D6" w:rsidRDefault="002E00D6" w:rsidP="002E00D6">
            <w:pPr>
              <w:spacing w:line="276" w:lineRule="auto"/>
              <w:jc w:val="center"/>
              <w:rPr>
                <w:rFonts w:cs="Arial"/>
                <w:color w:val="FF0000"/>
              </w:rPr>
            </w:pP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488B89E0" w:rsidR="00D13FF1" w:rsidRPr="00835F95" w:rsidRDefault="002E00D6" w:rsidP="00835F95">
            <w:pPr>
              <w:spacing w:line="276" w:lineRule="auto"/>
              <w:jc w:val="center"/>
              <w:rPr>
                <w:rFonts w:eastAsiaTheme="minorHAnsi" w:cs="Arial"/>
                <w:color w:val="FF0000"/>
                <w:lang w:eastAsia="en-US"/>
              </w:rPr>
            </w:pPr>
            <w:r w:rsidRPr="002E00D6">
              <w:rPr>
                <w:rFonts w:eastAsiaTheme="minorHAnsi" w:cs="Arial"/>
                <w:color w:val="FF0000"/>
                <w:lang w:eastAsia="en-US"/>
              </w:rPr>
              <w:t>Update due to absence and Wellbeing</w:t>
            </w:r>
            <w:r>
              <w:rPr>
                <w:rFonts w:eastAsiaTheme="minorHAnsi" w:cs="Arial"/>
                <w:color w:val="FF0000"/>
                <w:lang w:eastAsia="en-US"/>
              </w:rPr>
              <w:t xml:space="preserve"> procedure.</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77777777" w:rsidR="00D13FF1" w:rsidRPr="00835F95" w:rsidRDefault="00884016" w:rsidP="00835F95">
            <w:pPr>
              <w:spacing w:line="276" w:lineRule="auto"/>
              <w:jc w:val="center"/>
              <w:rPr>
                <w:rFonts w:eastAsiaTheme="minorHAnsi" w:cs="Arial"/>
                <w:color w:val="FF0000"/>
                <w:lang w:eastAsia="en-US"/>
              </w:rPr>
            </w:pPr>
            <w:r w:rsidRPr="00835F95">
              <w:rPr>
                <w:rFonts w:eastAsiaTheme="minorHAnsi" w:cs="Arial"/>
                <w:color w:val="FF0000"/>
                <w:lang w:eastAsia="en-US"/>
              </w:rPr>
              <w:t>People Management</w:t>
            </w:r>
          </w:p>
        </w:tc>
      </w:tr>
      <w:tr w:rsidR="00D13FF1" w:rsidRPr="00440B9D" w14:paraId="21697243"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0B681" w14:textId="320035ED" w:rsidR="00D13FF1" w:rsidRPr="00835F95" w:rsidRDefault="00D13FF1" w:rsidP="00835F95">
            <w:pPr>
              <w:spacing w:line="276" w:lineRule="auto"/>
              <w:jc w:val="center"/>
              <w:rPr>
                <w:rFonts w:cs="Arial"/>
                <w:color w:val="FF0000"/>
              </w:rPr>
            </w:pPr>
            <w:r w:rsidRPr="00835F95">
              <w:rPr>
                <w:rFonts w:cs="Arial"/>
                <w:color w:val="FF0000"/>
              </w:rPr>
              <w:t xml:space="preserve">Version </w:t>
            </w:r>
            <w:r w:rsidR="002E00D6">
              <w:rPr>
                <w:rFonts w:cs="Arial"/>
                <w:color w:val="FF0000"/>
              </w:rPr>
              <w:t>3</w:t>
            </w:r>
          </w:p>
          <w:p w14:paraId="76F644D6" w14:textId="3706C501" w:rsidR="00D13FF1" w:rsidRPr="00835F95" w:rsidRDefault="00893696" w:rsidP="00835F95">
            <w:pPr>
              <w:spacing w:line="276" w:lineRule="auto"/>
              <w:jc w:val="center"/>
              <w:rPr>
                <w:rFonts w:cs="Arial"/>
                <w:color w:val="FF0000"/>
              </w:rPr>
            </w:pPr>
            <w:r w:rsidRPr="00835F95">
              <w:rPr>
                <w:rFonts w:cs="Arial"/>
                <w:color w:val="FF0000"/>
              </w:rPr>
              <w:t>Nov</w:t>
            </w:r>
            <w:r w:rsidR="002E00D6">
              <w:rPr>
                <w:rFonts w:cs="Arial"/>
                <w:color w:val="FF0000"/>
              </w:rPr>
              <w:t xml:space="preserve"> 2020</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BBABA5" w14:textId="1A301356" w:rsidR="00D13FF1" w:rsidRPr="00835F95" w:rsidRDefault="002E00D6" w:rsidP="00835F95">
            <w:pPr>
              <w:spacing w:line="276" w:lineRule="auto"/>
              <w:jc w:val="center"/>
              <w:rPr>
                <w:rFonts w:eastAsiaTheme="minorHAnsi" w:cs="Arial"/>
                <w:color w:val="FF0000"/>
                <w:lang w:eastAsia="en-US"/>
              </w:rPr>
            </w:pPr>
            <w:r>
              <w:rPr>
                <w:rFonts w:eastAsiaTheme="minorHAnsi" w:cs="Arial"/>
                <w:color w:val="FF0000"/>
                <w:lang w:eastAsia="en-US"/>
              </w:rPr>
              <w:t>Sign off added onto form.</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B4B3FB" w14:textId="77777777" w:rsidR="00D13FF1" w:rsidRPr="00835F95" w:rsidRDefault="00592AE0" w:rsidP="00835F95">
            <w:pPr>
              <w:spacing w:line="276" w:lineRule="auto"/>
              <w:jc w:val="center"/>
              <w:rPr>
                <w:rFonts w:eastAsiaTheme="minorHAnsi" w:cs="Arial"/>
                <w:color w:val="FF0000"/>
                <w:lang w:eastAsia="en-US"/>
              </w:rPr>
            </w:pPr>
            <w:r w:rsidRPr="00835F95">
              <w:rPr>
                <w:rFonts w:eastAsiaTheme="minorHAnsi" w:cs="Arial"/>
                <w:color w:val="FF0000"/>
                <w:lang w:eastAsia="en-US"/>
              </w:rPr>
              <w:t>People Management</w:t>
            </w:r>
          </w:p>
        </w:tc>
      </w:tr>
      <w:tr w:rsidR="00642490" w:rsidRPr="00440B9D" w14:paraId="0BF1E01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13227" w14:textId="528116FF" w:rsidR="00642490" w:rsidRPr="00835F95" w:rsidRDefault="00642490" w:rsidP="00835F95">
            <w:pPr>
              <w:spacing w:line="276" w:lineRule="auto"/>
              <w:jc w:val="center"/>
              <w:rPr>
                <w:rFonts w:cs="Arial"/>
                <w:color w:val="FF0000"/>
              </w:rPr>
            </w:pPr>
            <w:r w:rsidRPr="00835F95">
              <w:rPr>
                <w:rFonts w:cs="Arial"/>
                <w:color w:val="FF0000"/>
              </w:rPr>
              <w:t xml:space="preserve">Version </w:t>
            </w:r>
            <w:r w:rsidR="002E00D6">
              <w:rPr>
                <w:rFonts w:cs="Arial"/>
                <w:color w:val="FF0000"/>
              </w:rPr>
              <w:t>4</w:t>
            </w:r>
          </w:p>
          <w:p w14:paraId="76FDFCBF" w14:textId="3DF02B3B" w:rsidR="00642490" w:rsidRPr="00835F95" w:rsidRDefault="00642490" w:rsidP="00835F95">
            <w:pPr>
              <w:spacing w:line="276" w:lineRule="auto"/>
              <w:jc w:val="center"/>
              <w:rPr>
                <w:rFonts w:cs="Arial"/>
                <w:color w:val="FF0000"/>
              </w:rPr>
            </w:pPr>
            <w:r w:rsidRPr="00835F95">
              <w:rPr>
                <w:rFonts w:cs="Arial"/>
                <w:color w:val="FF0000"/>
              </w:rPr>
              <w:t>Oct 2018</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631E3" w14:textId="6B089F79" w:rsidR="00642490" w:rsidRPr="00835F95" w:rsidRDefault="002E00D6" w:rsidP="00835F95">
            <w:pPr>
              <w:spacing w:line="276" w:lineRule="auto"/>
              <w:jc w:val="center"/>
              <w:rPr>
                <w:rFonts w:eastAsiaTheme="minorHAnsi" w:cs="Arial"/>
                <w:color w:val="FF0000"/>
                <w:lang w:eastAsia="en-US"/>
              </w:rPr>
            </w:pPr>
            <w:r>
              <w:rPr>
                <w:rFonts w:eastAsiaTheme="minorHAnsi" w:cs="Arial"/>
                <w:color w:val="FF0000"/>
                <w:lang w:eastAsia="en-US"/>
              </w:rPr>
              <w:t>Replaced YPS with LPPA</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C4486BE" w14:textId="5833CEB4" w:rsidR="00642490" w:rsidRPr="00835F95" w:rsidRDefault="00642490" w:rsidP="00835F95">
            <w:pPr>
              <w:spacing w:line="276" w:lineRule="auto"/>
              <w:jc w:val="center"/>
              <w:rPr>
                <w:rFonts w:eastAsiaTheme="minorHAnsi" w:cs="Arial"/>
                <w:color w:val="FF0000"/>
                <w:lang w:eastAsia="en-US"/>
              </w:rPr>
            </w:pPr>
            <w:r w:rsidRPr="00835F95">
              <w:rPr>
                <w:rFonts w:eastAsiaTheme="minorHAnsi" w:cs="Arial"/>
                <w:color w:val="FF0000"/>
                <w:lang w:eastAsia="en-US"/>
              </w:rPr>
              <w:t>People Management</w:t>
            </w:r>
          </w:p>
        </w:tc>
      </w:tr>
      <w:tr w:rsidR="001B2E3C" w:rsidRPr="00440B9D" w14:paraId="6B8DAA54" w14:textId="77777777" w:rsidTr="00835F95">
        <w:tc>
          <w:tcPr>
            <w:tcW w:w="170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92FC879" w14:textId="0F9B9062" w:rsidR="001B2E3C" w:rsidRPr="00835F95" w:rsidRDefault="001B2E3C" w:rsidP="00835F95">
            <w:pPr>
              <w:spacing w:line="276" w:lineRule="auto"/>
              <w:jc w:val="center"/>
              <w:rPr>
                <w:rFonts w:cs="Arial"/>
                <w:color w:val="FF0000"/>
              </w:rPr>
            </w:pPr>
            <w:r w:rsidRPr="00835F95">
              <w:rPr>
                <w:rFonts w:cs="Arial"/>
                <w:color w:val="FF0000"/>
              </w:rPr>
              <w:t xml:space="preserve">Version </w:t>
            </w:r>
            <w:r w:rsidR="002E00D6">
              <w:rPr>
                <w:rFonts w:cs="Arial"/>
                <w:color w:val="FF0000"/>
              </w:rPr>
              <w:t>5</w:t>
            </w:r>
          </w:p>
          <w:p w14:paraId="192AA12D" w14:textId="082FA509" w:rsidR="001B2E3C" w:rsidRPr="00835F95" w:rsidRDefault="008E036A" w:rsidP="00835F95">
            <w:pPr>
              <w:spacing w:line="276" w:lineRule="auto"/>
              <w:jc w:val="center"/>
              <w:rPr>
                <w:rFonts w:cs="Arial"/>
                <w:color w:val="FF0000"/>
              </w:rPr>
            </w:pPr>
            <w:r>
              <w:rPr>
                <w:rFonts w:cs="Arial"/>
                <w:color w:val="FF0000"/>
              </w:rPr>
              <w:t>Oct</w:t>
            </w:r>
            <w:r w:rsidR="002E00D6">
              <w:rPr>
                <w:rFonts w:cs="Arial"/>
                <w:color w:val="FF0000"/>
              </w:rPr>
              <w:t xml:space="preserve"> </w:t>
            </w:r>
            <w:r>
              <w:rPr>
                <w:rFonts w:cs="Arial"/>
                <w:color w:val="FF0000"/>
              </w:rPr>
              <w:t>2024</w:t>
            </w:r>
          </w:p>
        </w:tc>
        <w:tc>
          <w:tcPr>
            <w:tcW w:w="470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0D049E0" w14:textId="1823DADB" w:rsidR="00627D1E" w:rsidRPr="00835F95" w:rsidRDefault="008E036A" w:rsidP="00835F95">
            <w:pPr>
              <w:spacing w:line="276" w:lineRule="auto"/>
              <w:jc w:val="center"/>
              <w:rPr>
                <w:rFonts w:eastAsiaTheme="minorHAnsi" w:cs="Arial"/>
                <w:color w:val="FF0000"/>
                <w:lang w:eastAsia="en-US"/>
              </w:rPr>
            </w:pPr>
            <w:r>
              <w:rPr>
                <w:rFonts w:eastAsiaTheme="minorHAnsi" w:cs="Arial"/>
                <w:color w:val="FF0000"/>
                <w:lang w:eastAsia="en-US"/>
              </w:rPr>
              <w:t>Rebrand</w:t>
            </w:r>
            <w:r w:rsidR="002E00D6">
              <w:rPr>
                <w:rFonts w:eastAsiaTheme="minorHAnsi" w:cs="Arial"/>
                <w:color w:val="FF0000"/>
                <w:lang w:eastAsia="en-US"/>
              </w:rPr>
              <w:t>ed</w:t>
            </w:r>
          </w:p>
        </w:tc>
        <w:tc>
          <w:tcPr>
            <w:tcW w:w="337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1AED77D" w14:textId="10F181FE" w:rsidR="001B2E3C" w:rsidRPr="00835F95" w:rsidRDefault="0071385F" w:rsidP="00835F95">
            <w:pPr>
              <w:spacing w:line="276" w:lineRule="auto"/>
              <w:jc w:val="center"/>
              <w:rPr>
                <w:rFonts w:eastAsiaTheme="minorHAnsi" w:cs="Arial"/>
                <w:color w:val="FF0000"/>
                <w:lang w:eastAsia="en-US"/>
              </w:rPr>
            </w:pPr>
            <w:r>
              <w:rPr>
                <w:rFonts w:eastAsiaTheme="minorHAnsi" w:cs="Arial"/>
                <w:color w:val="FF0000"/>
                <w:lang w:eastAsia="en-US"/>
              </w:rPr>
              <w:t>HR Department</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61D9CCB3" w14:textId="220330BC" w:rsidR="001E0E1F" w:rsidRPr="00B21687" w:rsidRDefault="002E00D6" w:rsidP="00835F95">
      <w:pPr>
        <w:pStyle w:val="Heading3"/>
        <w:rPr>
          <w:szCs w:val="28"/>
        </w:rPr>
      </w:pPr>
      <w:r>
        <w:rPr>
          <w:rStyle w:val="Hyperlink"/>
          <w:rFonts w:ascii="Arial Black" w:hAnsi="Arial Black"/>
          <w:sz w:val="28"/>
          <w:szCs w:val="28"/>
        </w:rPr>
        <w:t>Introduction</w:t>
      </w:r>
    </w:p>
    <w:p w14:paraId="1966D1B4" w14:textId="77777777" w:rsidR="002E00D6" w:rsidRDefault="002E00D6" w:rsidP="00C2238B">
      <w:pPr>
        <w:spacing w:line="240" w:lineRule="auto"/>
        <w:rPr>
          <w:rFonts w:ascii="Arial Black" w:hAnsi="Arial Black" w:cs="Arial"/>
          <w:bCs/>
          <w:color w:val="31849B"/>
          <w:sz w:val="28"/>
          <w:szCs w:val="28"/>
          <w:lang w:eastAsia="en-US"/>
        </w:rPr>
      </w:pPr>
    </w:p>
    <w:p w14:paraId="643D828F" w14:textId="324197BC" w:rsidR="00C2238B" w:rsidRPr="00C2238B" w:rsidRDefault="00C2238B" w:rsidP="00C2238B">
      <w:pPr>
        <w:spacing w:line="240" w:lineRule="auto"/>
        <w:rPr>
          <w:szCs w:val="20"/>
        </w:rPr>
      </w:pPr>
      <w:r w:rsidRPr="00C2238B">
        <w:rPr>
          <w:szCs w:val="20"/>
        </w:rPr>
        <w:t xml:space="preserve">This document sets out the procedure to be followed in cases where ill health retirement has been identified as a possible outcome following Absence and Wellbeing  meetings. This procedure refers to the Local Government Pension Scheme (LGPS) only for other pension schemes refer to the relevant scheme information for guidance on ill health retirement. </w:t>
      </w:r>
    </w:p>
    <w:p w14:paraId="26C69BF1" w14:textId="77777777" w:rsidR="00C2238B" w:rsidRPr="00C2238B" w:rsidRDefault="00C2238B" w:rsidP="00C2238B">
      <w:pPr>
        <w:spacing w:line="240" w:lineRule="auto"/>
        <w:rPr>
          <w:szCs w:val="20"/>
        </w:rPr>
      </w:pPr>
    </w:p>
    <w:p w14:paraId="2C5926EC" w14:textId="77777777" w:rsidR="00C2238B" w:rsidRDefault="00C2238B" w:rsidP="00C2238B">
      <w:pPr>
        <w:spacing w:line="240" w:lineRule="auto"/>
        <w:rPr>
          <w:szCs w:val="20"/>
        </w:rPr>
      </w:pPr>
      <w:r w:rsidRPr="00C2238B">
        <w:rPr>
          <w:szCs w:val="20"/>
        </w:rPr>
        <w:t>Ill health retirement is usually recommended when due to ill health or infirmity of mind or body the employee is:-</w:t>
      </w:r>
    </w:p>
    <w:p w14:paraId="43E542EB" w14:textId="77777777" w:rsidR="002E00D6" w:rsidRPr="00C2238B" w:rsidRDefault="002E00D6" w:rsidP="00C2238B">
      <w:pPr>
        <w:spacing w:line="240" w:lineRule="auto"/>
        <w:rPr>
          <w:szCs w:val="20"/>
        </w:rPr>
      </w:pPr>
    </w:p>
    <w:p w14:paraId="7336F250" w14:textId="77777777" w:rsidR="00C2238B" w:rsidRPr="00C2238B" w:rsidRDefault="00C2238B" w:rsidP="00C2238B">
      <w:pPr>
        <w:numPr>
          <w:ilvl w:val="0"/>
          <w:numId w:val="35"/>
        </w:numPr>
        <w:spacing w:line="240" w:lineRule="auto"/>
        <w:contextualSpacing/>
        <w:rPr>
          <w:szCs w:val="20"/>
        </w:rPr>
      </w:pPr>
      <w:r w:rsidRPr="00C2238B">
        <w:rPr>
          <w:szCs w:val="20"/>
        </w:rPr>
        <w:t xml:space="preserve">Permanently incapable of discharging efficiently the duties of their employment: and </w:t>
      </w:r>
    </w:p>
    <w:p w14:paraId="1DFAEB50" w14:textId="77777777" w:rsidR="00C2238B" w:rsidRPr="00C2238B" w:rsidRDefault="00C2238B" w:rsidP="00C2238B">
      <w:pPr>
        <w:numPr>
          <w:ilvl w:val="0"/>
          <w:numId w:val="35"/>
        </w:numPr>
        <w:spacing w:line="240" w:lineRule="auto"/>
        <w:contextualSpacing/>
        <w:rPr>
          <w:szCs w:val="20"/>
        </w:rPr>
      </w:pPr>
      <w:r w:rsidRPr="00C2238B">
        <w:rPr>
          <w:szCs w:val="20"/>
        </w:rPr>
        <w:t xml:space="preserve">They also have reduced likelihood of being capable of undertaking any ‘gainful employment’ before normal retirement age </w:t>
      </w:r>
    </w:p>
    <w:p w14:paraId="3E222677" w14:textId="77777777" w:rsidR="00C2238B" w:rsidRPr="00C2238B" w:rsidRDefault="00C2238B" w:rsidP="00C2238B">
      <w:pPr>
        <w:spacing w:line="240" w:lineRule="auto"/>
        <w:rPr>
          <w:szCs w:val="20"/>
        </w:rPr>
      </w:pPr>
    </w:p>
    <w:p w14:paraId="3F2A8B3B" w14:textId="77777777" w:rsidR="00C2238B" w:rsidRPr="00C2238B" w:rsidRDefault="00C2238B" w:rsidP="00C2238B">
      <w:pPr>
        <w:spacing w:line="240" w:lineRule="auto"/>
        <w:rPr>
          <w:szCs w:val="20"/>
        </w:rPr>
      </w:pPr>
      <w:r w:rsidRPr="00C2238B">
        <w:rPr>
          <w:szCs w:val="20"/>
        </w:rPr>
        <w:t>The employee becomes entitled to immediate payment of pension benefits regardless of age, provided they have at least 2 years membership or have transferred pension rights from a previous scheme.</w:t>
      </w:r>
    </w:p>
    <w:p w14:paraId="5E2C34C4" w14:textId="77777777" w:rsidR="00C2238B" w:rsidRPr="00C2238B" w:rsidRDefault="00C2238B" w:rsidP="00C2238B">
      <w:pPr>
        <w:spacing w:line="240" w:lineRule="auto"/>
        <w:rPr>
          <w:szCs w:val="20"/>
        </w:rPr>
      </w:pPr>
    </w:p>
    <w:p w14:paraId="35B08F52" w14:textId="77777777" w:rsidR="00C2238B" w:rsidRDefault="00C2238B" w:rsidP="00C2238B">
      <w:pPr>
        <w:spacing w:line="240" w:lineRule="auto"/>
        <w:rPr>
          <w:szCs w:val="20"/>
        </w:rPr>
      </w:pPr>
      <w:r w:rsidRPr="00C2238B">
        <w:rPr>
          <w:szCs w:val="20"/>
        </w:rPr>
        <w:lastRenderedPageBreak/>
        <w:t xml:space="preserve">The Service must have carried out all processes necessary to redesign and reasonably adjust the role or identify suitable alternative jobs within a reasonable timescale prior to referring a case for ill health retirement consideration.  </w:t>
      </w:r>
    </w:p>
    <w:p w14:paraId="5FAEFB8A" w14:textId="77777777" w:rsidR="00C2238B" w:rsidRDefault="00C2238B" w:rsidP="00C2238B">
      <w:pPr>
        <w:spacing w:line="240" w:lineRule="auto"/>
        <w:rPr>
          <w:szCs w:val="20"/>
        </w:rPr>
      </w:pPr>
    </w:p>
    <w:p w14:paraId="56F4C7E8" w14:textId="57ACAD7C" w:rsidR="00C2238B" w:rsidRPr="002E00D6" w:rsidRDefault="00C2238B" w:rsidP="002E00D6">
      <w:pPr>
        <w:pStyle w:val="Heading1"/>
        <w:rPr>
          <w:sz w:val="28"/>
          <w:szCs w:val="28"/>
        </w:rPr>
      </w:pPr>
      <w:r w:rsidRPr="002E00D6">
        <w:rPr>
          <w:sz w:val="28"/>
          <w:szCs w:val="28"/>
        </w:rPr>
        <w:t xml:space="preserve">Occupational Health </w:t>
      </w:r>
    </w:p>
    <w:p w14:paraId="07A5E2E8" w14:textId="77777777" w:rsidR="00C2238B" w:rsidRPr="00C2238B" w:rsidRDefault="00C2238B" w:rsidP="00C2238B">
      <w:pPr>
        <w:rPr>
          <w:rFonts w:ascii="Arial Black" w:hAnsi="Arial Black" w:cs="Arial"/>
          <w:color w:val="0082AA"/>
          <w:sz w:val="28"/>
          <w:szCs w:val="28"/>
        </w:rPr>
      </w:pPr>
    </w:p>
    <w:p w14:paraId="01FE86AC" w14:textId="77777777" w:rsidR="00C2238B" w:rsidRDefault="00C2238B" w:rsidP="00C2238B">
      <w:pPr>
        <w:rPr>
          <w:rFonts w:cs="Arial"/>
          <w:color w:val="000000"/>
        </w:rPr>
      </w:pPr>
      <w:r w:rsidRPr="00C2238B">
        <w:rPr>
          <w:rFonts w:cs="Arial"/>
          <w:color w:val="000000"/>
        </w:rPr>
        <w:t xml:space="preserve">Before an employer can make a decision regarding ill health benefits a medical report and certificate must be obtained from an independent registered medical practitioner (IRMP) qualified in occupational health medicine and registered with the General Medical Council. To be able to provide a certificate for ill health retirement the medical practitioner must confirm they have neither: </w:t>
      </w:r>
    </w:p>
    <w:p w14:paraId="08653CAC" w14:textId="77777777" w:rsidR="002E00D6" w:rsidRPr="00C2238B" w:rsidRDefault="002E00D6" w:rsidP="00C2238B">
      <w:pPr>
        <w:rPr>
          <w:rFonts w:cs="Arial"/>
          <w:color w:val="000000"/>
        </w:rPr>
      </w:pPr>
    </w:p>
    <w:p w14:paraId="1C81244B" w14:textId="77777777" w:rsidR="00C2238B" w:rsidRPr="00C2238B" w:rsidRDefault="00C2238B" w:rsidP="00C2238B">
      <w:pPr>
        <w:numPr>
          <w:ilvl w:val="0"/>
          <w:numId w:val="36"/>
        </w:numPr>
        <w:contextualSpacing/>
        <w:rPr>
          <w:rFonts w:cs="Arial"/>
          <w:color w:val="000000"/>
        </w:rPr>
      </w:pPr>
      <w:r w:rsidRPr="00C2238B">
        <w:rPr>
          <w:rFonts w:cs="Arial"/>
          <w:color w:val="000000"/>
        </w:rPr>
        <w:t>Previously advised, given an opinion or been otherwise involved with the case; or</w:t>
      </w:r>
    </w:p>
    <w:p w14:paraId="215A0061" w14:textId="77777777" w:rsidR="00C2238B" w:rsidRPr="00C2238B" w:rsidRDefault="00C2238B" w:rsidP="00C2238B">
      <w:pPr>
        <w:numPr>
          <w:ilvl w:val="0"/>
          <w:numId w:val="36"/>
        </w:numPr>
        <w:contextualSpacing/>
        <w:rPr>
          <w:rFonts w:cs="Arial"/>
          <w:color w:val="000000"/>
        </w:rPr>
      </w:pPr>
      <w:r w:rsidRPr="00C2238B">
        <w:rPr>
          <w:rFonts w:cs="Arial"/>
          <w:color w:val="000000"/>
        </w:rPr>
        <w:t>Be acting or have previously acted as the representative of the member, the employer or any other party.</w:t>
      </w:r>
    </w:p>
    <w:p w14:paraId="14CD5D63" w14:textId="77777777" w:rsidR="00C2238B" w:rsidRPr="00C2238B" w:rsidRDefault="00C2238B" w:rsidP="00C2238B">
      <w:pPr>
        <w:rPr>
          <w:rFonts w:cs="Arial"/>
          <w:color w:val="000000"/>
        </w:rPr>
      </w:pPr>
    </w:p>
    <w:p w14:paraId="258451C5" w14:textId="77777777" w:rsidR="00C2238B" w:rsidRPr="00C2238B" w:rsidRDefault="00C2238B" w:rsidP="00C2238B">
      <w:pPr>
        <w:rPr>
          <w:rFonts w:cs="Arial"/>
          <w:color w:val="000000"/>
        </w:rPr>
      </w:pPr>
      <w:r w:rsidRPr="00C2238B">
        <w:rPr>
          <w:rFonts w:cs="Arial"/>
          <w:color w:val="000000"/>
        </w:rPr>
        <w:t xml:space="preserve">The manager will refer the employee to Occupational health for an assessment and provide the relevant certificate for completion LPPA Employer – Active Member – Ill Health Certificate attached. The IRMP is asked to provide an opinion on the employee’s capability of undertaking gainful employment based solely on the effect the medical condition has on the person’s ability to undertake gainful employment. </w:t>
      </w:r>
    </w:p>
    <w:p w14:paraId="6041ABE3" w14:textId="77777777" w:rsidR="00C2238B" w:rsidRPr="00C2238B" w:rsidRDefault="00C2238B" w:rsidP="00C2238B">
      <w:pPr>
        <w:rPr>
          <w:rFonts w:cs="Arial"/>
          <w:color w:val="000000"/>
        </w:rPr>
      </w:pPr>
    </w:p>
    <w:p w14:paraId="526BFB94" w14:textId="59B307DC" w:rsidR="00C2238B" w:rsidRPr="00C2238B" w:rsidRDefault="00C2238B" w:rsidP="00C2238B">
      <w:pPr>
        <w:rPr>
          <w:rFonts w:cs="Arial"/>
          <w:color w:val="000000"/>
        </w:rPr>
      </w:pPr>
      <w:r w:rsidRPr="00C2238B">
        <w:rPr>
          <w:rFonts w:cs="Arial"/>
          <w:color w:val="000000"/>
        </w:rPr>
        <w:t>If the employee is terminally ill please refer to People Management HR provider and the Fast Track process.</w:t>
      </w:r>
    </w:p>
    <w:p w14:paraId="139F4DFC" w14:textId="77777777" w:rsidR="00C2238B" w:rsidRPr="00C2238B" w:rsidRDefault="00C2238B" w:rsidP="00C2238B">
      <w:pPr>
        <w:rPr>
          <w:rFonts w:cs="Arial"/>
          <w:color w:val="000000"/>
        </w:rPr>
      </w:pPr>
    </w:p>
    <w:p w14:paraId="617F81A1" w14:textId="77777777" w:rsidR="00C2238B" w:rsidRPr="002E00D6" w:rsidRDefault="00C2238B" w:rsidP="002E00D6">
      <w:pPr>
        <w:pStyle w:val="Heading1"/>
        <w:rPr>
          <w:sz w:val="28"/>
          <w:szCs w:val="28"/>
        </w:rPr>
      </w:pPr>
      <w:r w:rsidRPr="002E00D6">
        <w:rPr>
          <w:sz w:val="28"/>
          <w:szCs w:val="28"/>
        </w:rPr>
        <w:t>Tiers</w:t>
      </w:r>
    </w:p>
    <w:p w14:paraId="739CE975" w14:textId="77777777" w:rsidR="00C2238B" w:rsidRPr="00C2238B" w:rsidRDefault="00C2238B" w:rsidP="00C2238B">
      <w:pPr>
        <w:rPr>
          <w:rFonts w:ascii="Arial Black" w:hAnsi="Arial Black" w:cs="Arial"/>
          <w:color w:val="000000"/>
          <w:sz w:val="28"/>
          <w:szCs w:val="28"/>
        </w:rPr>
      </w:pPr>
    </w:p>
    <w:p w14:paraId="65B523E3" w14:textId="77777777" w:rsidR="00C2238B" w:rsidRPr="00C2238B" w:rsidRDefault="00C2238B" w:rsidP="00C2238B">
      <w:r w:rsidRPr="00C2238B">
        <w:t>The IRMP will complete the medical certificate and indicate which tier of ill health retirement they believe is appropriate. There are 3 levels of ill health benefits.</w:t>
      </w:r>
    </w:p>
    <w:tbl>
      <w:tblPr>
        <w:tblW w:w="9852" w:type="dxa"/>
        <w:tblLayout w:type="fixed"/>
        <w:tblLook w:val="0000" w:firstRow="0" w:lastRow="0" w:firstColumn="0" w:lastColumn="0" w:noHBand="0" w:noVBand="0"/>
      </w:tblPr>
      <w:tblGrid>
        <w:gridCol w:w="9852"/>
      </w:tblGrid>
      <w:tr w:rsidR="00C2238B" w:rsidRPr="00C2238B" w14:paraId="28D6E150" w14:textId="77777777" w:rsidTr="00A32893">
        <w:tc>
          <w:tcPr>
            <w:tcW w:w="9852" w:type="dxa"/>
          </w:tcPr>
          <w:p w14:paraId="712EBB5D" w14:textId="77777777" w:rsidR="00C2238B" w:rsidRPr="00C2238B" w:rsidRDefault="00C2238B" w:rsidP="00C2238B">
            <w:pPr>
              <w:spacing w:line="240" w:lineRule="auto"/>
              <w:rPr>
                <w:szCs w:val="20"/>
              </w:rPr>
            </w:pPr>
          </w:p>
        </w:tc>
      </w:tr>
    </w:tbl>
    <w:p w14:paraId="568E7DB9" w14:textId="77777777" w:rsidR="00C2238B" w:rsidRPr="002E00D6" w:rsidRDefault="00C2238B" w:rsidP="002E00D6">
      <w:pPr>
        <w:pStyle w:val="Heading1"/>
        <w:rPr>
          <w:sz w:val="28"/>
          <w:szCs w:val="28"/>
        </w:rPr>
      </w:pPr>
      <w:r w:rsidRPr="002E00D6">
        <w:rPr>
          <w:sz w:val="28"/>
          <w:szCs w:val="28"/>
        </w:rPr>
        <w:t xml:space="preserve">Tier One Benefits </w:t>
      </w:r>
    </w:p>
    <w:p w14:paraId="3379FCDF" w14:textId="77777777" w:rsidR="00C2238B" w:rsidRPr="00C2238B" w:rsidRDefault="00C2238B" w:rsidP="00C2238B">
      <w:pPr>
        <w:rPr>
          <w:rFonts w:ascii="Arial Black" w:hAnsi="Arial Black" w:cs="Arial"/>
          <w:b/>
          <w:color w:val="007EA9"/>
          <w:sz w:val="28"/>
          <w:szCs w:val="28"/>
        </w:rPr>
      </w:pPr>
    </w:p>
    <w:p w14:paraId="69E6C89B" w14:textId="77777777" w:rsidR="00C2238B" w:rsidRPr="00C2238B" w:rsidRDefault="00C2238B" w:rsidP="00C2238B">
      <w:pPr>
        <w:rPr>
          <w:rFonts w:cs="Arial"/>
          <w:iCs/>
        </w:rPr>
      </w:pPr>
      <w:r w:rsidRPr="00C2238B">
        <w:rPr>
          <w:rFonts w:cs="Arial"/>
          <w:iCs/>
        </w:rPr>
        <w:t>The</w:t>
      </w:r>
      <w:r w:rsidRPr="00C2238B">
        <w:rPr>
          <w:rFonts w:cs="Arial"/>
          <w:iCs/>
          <w:sz w:val="22"/>
          <w:szCs w:val="22"/>
        </w:rPr>
        <w:t xml:space="preserve"> </w:t>
      </w:r>
      <w:r w:rsidRPr="00C2238B">
        <w:rPr>
          <w:rFonts w:cs="Arial"/>
          <w:iCs/>
        </w:rPr>
        <w:t>employee is certified as having no reasonable prospect of being capable of undertaking any gainful employment before normal retirement age.</w:t>
      </w:r>
    </w:p>
    <w:p w14:paraId="55AADB18" w14:textId="77777777" w:rsidR="00C2238B" w:rsidRPr="00C2238B" w:rsidRDefault="00C2238B" w:rsidP="00C2238B">
      <w:pPr>
        <w:rPr>
          <w:rFonts w:cs="Arial"/>
          <w:iCs/>
        </w:rPr>
      </w:pPr>
    </w:p>
    <w:p w14:paraId="16A3FA11" w14:textId="77777777" w:rsidR="00C2238B" w:rsidRPr="00C2238B" w:rsidRDefault="00C2238B" w:rsidP="00C2238B">
      <w:pPr>
        <w:rPr>
          <w:rFonts w:cs="Arial"/>
          <w:iCs/>
        </w:rPr>
      </w:pPr>
      <w:r w:rsidRPr="00C2238B">
        <w:rPr>
          <w:rFonts w:cs="Arial"/>
          <w:iCs/>
        </w:rPr>
        <w:t>Benefits are increased as if the employee had continued in employment, working the same number of hours, until their state pension age or 65 if later.</w:t>
      </w:r>
    </w:p>
    <w:p w14:paraId="2BBD298E" w14:textId="77777777" w:rsidR="00C2238B" w:rsidRPr="00C2238B" w:rsidRDefault="00C2238B" w:rsidP="00C2238B">
      <w:pPr>
        <w:ind w:left="426" w:hanging="426"/>
        <w:rPr>
          <w:rFonts w:cs="Arial"/>
        </w:rPr>
      </w:pPr>
    </w:p>
    <w:p w14:paraId="12EFFC17" w14:textId="77777777" w:rsidR="00C2238B" w:rsidRPr="002E00D6" w:rsidRDefault="00C2238B" w:rsidP="002E00D6">
      <w:pPr>
        <w:pStyle w:val="Heading1"/>
        <w:rPr>
          <w:sz w:val="28"/>
          <w:szCs w:val="28"/>
        </w:rPr>
      </w:pPr>
      <w:r w:rsidRPr="002E00D6">
        <w:rPr>
          <w:sz w:val="28"/>
          <w:szCs w:val="28"/>
        </w:rPr>
        <w:t xml:space="preserve">Tier Two Benefits </w:t>
      </w:r>
    </w:p>
    <w:p w14:paraId="1BA6A71E" w14:textId="77777777" w:rsidR="00C2238B" w:rsidRPr="00C2238B" w:rsidRDefault="00C2238B" w:rsidP="00C2238B">
      <w:pPr>
        <w:rPr>
          <w:rFonts w:ascii="Arial Black" w:hAnsi="Arial Black" w:cs="Arial"/>
          <w:b/>
          <w:color w:val="007EA9"/>
          <w:sz w:val="28"/>
          <w:szCs w:val="28"/>
        </w:rPr>
      </w:pPr>
    </w:p>
    <w:p w14:paraId="6365FC8B" w14:textId="77777777" w:rsidR="00C2238B" w:rsidRPr="00C2238B" w:rsidRDefault="00C2238B" w:rsidP="00C2238B">
      <w:pPr>
        <w:spacing w:line="240" w:lineRule="auto"/>
        <w:rPr>
          <w:rFonts w:cs="Arial"/>
        </w:rPr>
      </w:pPr>
      <w:r w:rsidRPr="00C2238B">
        <w:rPr>
          <w:rFonts w:cs="Arial"/>
        </w:rPr>
        <w:t>The employee is certified as not capable of undertaking any gainful employment within 3 years of leaving their employment, but is likely to before normal retirement age.</w:t>
      </w:r>
    </w:p>
    <w:p w14:paraId="5A9647BF" w14:textId="77777777" w:rsidR="00C2238B" w:rsidRPr="00C2238B" w:rsidRDefault="00C2238B" w:rsidP="00C2238B">
      <w:pPr>
        <w:spacing w:line="240" w:lineRule="auto"/>
        <w:rPr>
          <w:rFonts w:cs="Arial"/>
        </w:rPr>
      </w:pPr>
    </w:p>
    <w:p w14:paraId="524B4FC4" w14:textId="77777777" w:rsidR="00C2238B" w:rsidRDefault="00C2238B" w:rsidP="00C2238B">
      <w:pPr>
        <w:spacing w:line="240" w:lineRule="auto"/>
        <w:rPr>
          <w:rFonts w:cs="Arial"/>
        </w:rPr>
      </w:pPr>
      <w:r w:rsidRPr="00C2238B">
        <w:rPr>
          <w:rFonts w:cs="Arial"/>
        </w:rPr>
        <w:lastRenderedPageBreak/>
        <w:t>Benefits accrued are payable with the addition of an additional period of membership amounting to 25% of the membership that could have been achieved from the date of leaving until their state pension age or 65 if later, working the same number of hours.</w:t>
      </w:r>
    </w:p>
    <w:p w14:paraId="21325821" w14:textId="77777777" w:rsidR="00C2238B" w:rsidRDefault="00C2238B" w:rsidP="00C2238B">
      <w:pPr>
        <w:spacing w:line="240" w:lineRule="auto"/>
        <w:rPr>
          <w:rFonts w:cs="Arial"/>
        </w:rPr>
      </w:pPr>
    </w:p>
    <w:p w14:paraId="6413ADEE" w14:textId="77777777" w:rsidR="00C2238B" w:rsidRPr="002E00D6" w:rsidRDefault="00C2238B" w:rsidP="002E00D6">
      <w:pPr>
        <w:pStyle w:val="Heading1"/>
        <w:rPr>
          <w:sz w:val="28"/>
          <w:szCs w:val="28"/>
        </w:rPr>
      </w:pPr>
      <w:r w:rsidRPr="002E00D6">
        <w:rPr>
          <w:sz w:val="28"/>
          <w:szCs w:val="28"/>
        </w:rPr>
        <w:t xml:space="preserve">Tier Three Benefits </w:t>
      </w:r>
    </w:p>
    <w:p w14:paraId="6204677D" w14:textId="77777777" w:rsidR="00C2238B" w:rsidRPr="00C2238B" w:rsidRDefault="00C2238B" w:rsidP="00C2238B">
      <w:pPr>
        <w:rPr>
          <w:rFonts w:ascii="Arial Black" w:hAnsi="Arial Black" w:cs="Arial"/>
          <w:b/>
          <w:color w:val="007EA9"/>
          <w:sz w:val="28"/>
          <w:szCs w:val="28"/>
        </w:rPr>
      </w:pPr>
    </w:p>
    <w:p w14:paraId="5E03130E" w14:textId="77356630" w:rsidR="00C2238B" w:rsidRPr="00C2238B" w:rsidRDefault="00C2238B" w:rsidP="00C2238B">
      <w:pPr>
        <w:rPr>
          <w:rFonts w:cs="Arial"/>
        </w:rPr>
      </w:pPr>
      <w:r w:rsidRPr="00C2238B">
        <w:rPr>
          <w:rFonts w:cs="Arial"/>
        </w:rPr>
        <w:t xml:space="preserve">The employee is certified as likely of being capable of undertaking gainful employment within 3 years of leaving employment. The former employee is </w:t>
      </w:r>
      <w:r w:rsidRPr="00C2238B">
        <w:rPr>
          <w:rFonts w:cs="Arial"/>
          <w:u w:val="single"/>
        </w:rPr>
        <w:t>required</w:t>
      </w:r>
      <w:r w:rsidRPr="00C2238B">
        <w:rPr>
          <w:rFonts w:cs="Arial"/>
        </w:rPr>
        <w:t xml:space="preserve"> to inform </w:t>
      </w:r>
      <w:r w:rsidR="00113B0C">
        <w:rPr>
          <w:rFonts w:cs="Arial"/>
        </w:rPr>
        <w:t xml:space="preserve">Cumbria Fire &amp; Rescue Service </w:t>
      </w:r>
      <w:r w:rsidRPr="00C2238B">
        <w:rPr>
          <w:rFonts w:cs="Arial"/>
        </w:rPr>
        <w:t xml:space="preserve">of any employment taken up, whether local government or not and on request, information must be made available to </w:t>
      </w:r>
      <w:r w:rsidR="00113B0C">
        <w:rPr>
          <w:rFonts w:cs="Arial"/>
        </w:rPr>
        <w:t>Cumbria Fire &amp; Rescue Service</w:t>
      </w:r>
      <w:r w:rsidRPr="00C2238B">
        <w:rPr>
          <w:rFonts w:cs="Arial"/>
        </w:rPr>
        <w:t xml:space="preserve"> regarding their employment status, pay and working hours.</w:t>
      </w:r>
    </w:p>
    <w:p w14:paraId="36FEE876" w14:textId="77777777" w:rsidR="00C2238B" w:rsidRPr="00C2238B" w:rsidRDefault="00C2238B" w:rsidP="00C2238B">
      <w:pPr>
        <w:rPr>
          <w:rFonts w:cs="Arial"/>
        </w:rPr>
      </w:pPr>
    </w:p>
    <w:p w14:paraId="6C28D1AE" w14:textId="56FB397C" w:rsidR="00C2238B" w:rsidRPr="00C2238B" w:rsidRDefault="00C2238B" w:rsidP="00C2238B">
      <w:pPr>
        <w:rPr>
          <w:rFonts w:cs="Arial"/>
        </w:rPr>
      </w:pPr>
      <w:r w:rsidRPr="00C2238B">
        <w:rPr>
          <w:rFonts w:cs="Arial"/>
        </w:rPr>
        <w:t xml:space="preserve">In the event that the employee advises </w:t>
      </w:r>
      <w:r w:rsidR="00113B0C">
        <w:rPr>
          <w:rFonts w:cs="Arial"/>
        </w:rPr>
        <w:t>Cumbria Fire &amp; Rescue Service</w:t>
      </w:r>
      <w:r w:rsidRPr="00C2238B">
        <w:rPr>
          <w:rFonts w:cs="Arial"/>
        </w:rPr>
        <w:t xml:space="preserve"> that employment has been found and </w:t>
      </w:r>
      <w:r w:rsidR="00113B0C">
        <w:rPr>
          <w:rFonts w:cs="Arial"/>
        </w:rPr>
        <w:t>Cumbria Fire &amp; Rescue Service</w:t>
      </w:r>
      <w:r w:rsidRPr="00C2238B">
        <w:rPr>
          <w:rFonts w:cs="Arial"/>
        </w:rPr>
        <w:t xml:space="preserve"> considers it to be gainful employment the pension is suspended until the appropriate date that the employee can draw their pension benefits under the Deferred Pension into Payment regulations.</w:t>
      </w:r>
    </w:p>
    <w:p w14:paraId="7500DFBE" w14:textId="77777777" w:rsidR="00C2238B" w:rsidRPr="00C2238B" w:rsidRDefault="00C2238B" w:rsidP="00C2238B">
      <w:pPr>
        <w:rPr>
          <w:rFonts w:cs="Arial"/>
        </w:rPr>
      </w:pPr>
    </w:p>
    <w:p w14:paraId="3D946CA4" w14:textId="0C5A2213" w:rsidR="00C2238B" w:rsidRPr="00C2238B" w:rsidRDefault="00113B0C" w:rsidP="00C2238B">
      <w:pPr>
        <w:rPr>
          <w:rFonts w:cs="Arial"/>
        </w:rPr>
      </w:pPr>
      <w:r>
        <w:rPr>
          <w:rFonts w:cs="Arial"/>
        </w:rPr>
        <w:t>Cumbria Fire &amp; Rescue Service</w:t>
      </w:r>
      <w:r w:rsidR="00C2238B" w:rsidRPr="00C2238B">
        <w:rPr>
          <w:rFonts w:cs="Arial"/>
        </w:rPr>
        <w:t xml:space="preserve"> may recover any overpayment of pension in which they consider the employee was in gainful employment.</w:t>
      </w:r>
    </w:p>
    <w:p w14:paraId="0218A9B9" w14:textId="77777777" w:rsidR="00C2238B" w:rsidRPr="00C2238B" w:rsidRDefault="00C2238B" w:rsidP="00C2238B">
      <w:pPr>
        <w:rPr>
          <w:rFonts w:cs="Arial"/>
        </w:rPr>
      </w:pPr>
    </w:p>
    <w:p w14:paraId="0733BF08" w14:textId="15BEB97C" w:rsidR="00C2238B" w:rsidRPr="00C2238B" w:rsidRDefault="00C2238B" w:rsidP="00C2238B">
      <w:pPr>
        <w:rPr>
          <w:rFonts w:cs="Arial"/>
        </w:rPr>
      </w:pPr>
      <w:r w:rsidRPr="00C2238B">
        <w:rPr>
          <w:rFonts w:cs="Arial"/>
        </w:rPr>
        <w:t xml:space="preserve">Where gainful employment has not been found by 18 months, </w:t>
      </w:r>
      <w:r w:rsidR="00113B0C">
        <w:rPr>
          <w:rFonts w:cs="Arial"/>
        </w:rPr>
        <w:t>Cumbria Fire &amp; Rescue Service</w:t>
      </w:r>
      <w:r w:rsidRPr="00C2238B">
        <w:rPr>
          <w:rFonts w:cs="Arial"/>
        </w:rPr>
        <w:t xml:space="preserve"> will refer the employee to a medical practitioner, for an opinion as to whether the employee is capable of undertaking any gainful employment</w:t>
      </w:r>
      <w:r w:rsidR="00113B0C">
        <w:rPr>
          <w:rFonts w:cs="Arial"/>
        </w:rPr>
        <w:t xml:space="preserve">. </w:t>
      </w:r>
      <w:r w:rsidRPr="00C2238B">
        <w:rPr>
          <w:rFonts w:cs="Arial"/>
        </w:rPr>
        <w:t>The medical practitioner may also certify that tier two ill health benefits now apply. A review at 18 months is not required if the employee has already attained age 65 at the 18 month review date. There are no provisions within the regulations to uplift the pension to tier one pension benefits.</w:t>
      </w:r>
    </w:p>
    <w:p w14:paraId="67343873" w14:textId="77777777" w:rsidR="00C2238B" w:rsidRPr="00C2238B" w:rsidRDefault="00C2238B" w:rsidP="00C2238B">
      <w:pPr>
        <w:rPr>
          <w:rFonts w:cs="Arial"/>
        </w:rPr>
      </w:pPr>
    </w:p>
    <w:p w14:paraId="59667A7E" w14:textId="77777777" w:rsidR="00C2238B" w:rsidRPr="00C2238B" w:rsidRDefault="00C2238B" w:rsidP="00C2238B">
      <w:pPr>
        <w:rPr>
          <w:rFonts w:cs="Arial"/>
        </w:rPr>
      </w:pPr>
      <w:r w:rsidRPr="00C2238B">
        <w:rPr>
          <w:rFonts w:cs="Arial"/>
        </w:rPr>
        <w:t xml:space="preserve">Once a third tier pension has been suspended, no further third tier pension can be paid in respect of any further period of employment. </w:t>
      </w:r>
    </w:p>
    <w:p w14:paraId="4B7625D0" w14:textId="77777777" w:rsidR="00C2238B" w:rsidRPr="00C2238B" w:rsidRDefault="00C2238B" w:rsidP="00C2238B">
      <w:pPr>
        <w:rPr>
          <w:rFonts w:cs="Arial"/>
        </w:rPr>
      </w:pPr>
    </w:p>
    <w:p w14:paraId="0E9587F0" w14:textId="41CEADD6" w:rsidR="00C2238B" w:rsidRPr="00C2238B" w:rsidRDefault="00C2238B" w:rsidP="00C2238B">
      <w:pPr>
        <w:rPr>
          <w:rFonts w:cs="Arial"/>
        </w:rPr>
      </w:pPr>
      <w:r w:rsidRPr="00C2238B">
        <w:rPr>
          <w:rFonts w:cs="Arial"/>
        </w:rPr>
        <w:t xml:space="preserve">Where third tier ill health pension has been suspended, a member can request early payment of this pension from age 55. Employees who retired on third tier ill health pension before 2014 cannot draw their pension before age 60. Employees who retired on third tier ill health pension after 2014 can elect to draw pension from age 55. </w:t>
      </w:r>
      <w:r w:rsidR="00113B0C">
        <w:rPr>
          <w:rFonts w:cs="Arial"/>
        </w:rPr>
        <w:t>Cumbria Fire &amp; Rescue Service’s</w:t>
      </w:r>
      <w:r w:rsidRPr="00C2238B">
        <w:rPr>
          <w:rFonts w:cs="Arial"/>
        </w:rPr>
        <w:t xml:space="preserve"> consent is required for release of pension before age 60 for pre 2014 cases and early retirement deductions will apply if the pension is paid before age 65.</w:t>
      </w:r>
    </w:p>
    <w:p w14:paraId="198CC0D5" w14:textId="77777777" w:rsidR="00C2238B" w:rsidRPr="00C2238B" w:rsidRDefault="00C2238B" w:rsidP="00C2238B">
      <w:pPr>
        <w:rPr>
          <w:rFonts w:cs="Arial"/>
        </w:rPr>
      </w:pPr>
    </w:p>
    <w:p w14:paraId="47CE5929" w14:textId="77777777" w:rsidR="00C2238B" w:rsidRPr="00C2238B" w:rsidRDefault="00C2238B" w:rsidP="00C2238B">
      <w:pPr>
        <w:rPr>
          <w:rFonts w:cs="Arial"/>
        </w:rPr>
      </w:pPr>
      <w:r w:rsidRPr="00C2238B">
        <w:rPr>
          <w:rFonts w:cs="Arial"/>
        </w:rPr>
        <w:t>There is a time restriction on when a third tier ill health pension can be uplifted to a second tier pension. Uplift to second tier can only be made within a period of 3 years following suspension.</w:t>
      </w:r>
    </w:p>
    <w:p w14:paraId="523F530F" w14:textId="77777777" w:rsidR="00C2238B" w:rsidRPr="00C2238B" w:rsidRDefault="00C2238B" w:rsidP="00C2238B">
      <w:pPr>
        <w:rPr>
          <w:rFonts w:cs="Arial"/>
        </w:rPr>
      </w:pPr>
    </w:p>
    <w:p w14:paraId="62624622" w14:textId="77777777" w:rsidR="00C2238B" w:rsidRPr="00C2238B" w:rsidRDefault="00C2238B" w:rsidP="00C2238B">
      <w:pPr>
        <w:rPr>
          <w:rFonts w:cs="Arial"/>
        </w:rPr>
      </w:pPr>
      <w:r w:rsidRPr="00C2238B">
        <w:rPr>
          <w:rFonts w:cs="Arial"/>
        </w:rPr>
        <w:t xml:space="preserve">Pension benefits are restricted where a member who has previously been awarded either, first or second tier ill health pension and then returns to local government employment (abatement applies) and is awarded further ill health retirement benefits in the later employment. </w:t>
      </w:r>
    </w:p>
    <w:p w14:paraId="6F295E77" w14:textId="77777777" w:rsidR="00C2238B" w:rsidRPr="00C2238B" w:rsidRDefault="00C2238B" w:rsidP="00C2238B">
      <w:pPr>
        <w:rPr>
          <w:rFonts w:cs="Arial"/>
        </w:rPr>
      </w:pPr>
    </w:p>
    <w:p w14:paraId="2119EC73" w14:textId="77777777" w:rsidR="00C2238B" w:rsidRPr="00C2238B" w:rsidRDefault="00C2238B" w:rsidP="00C2238B">
      <w:pPr>
        <w:rPr>
          <w:rFonts w:cs="Arial"/>
          <w:color w:val="000000"/>
        </w:rPr>
      </w:pPr>
      <w:r w:rsidRPr="00C2238B">
        <w:rPr>
          <w:rFonts w:cs="Arial"/>
          <w:color w:val="000000"/>
        </w:rPr>
        <w:lastRenderedPageBreak/>
        <w:t>“</w:t>
      </w:r>
      <w:r w:rsidRPr="00C2238B">
        <w:rPr>
          <w:rFonts w:cs="Arial"/>
          <w:b/>
          <w:color w:val="000000"/>
        </w:rPr>
        <w:t>Gainful Employment</w:t>
      </w:r>
      <w:r w:rsidRPr="00C2238B">
        <w:rPr>
          <w:rFonts w:cs="Arial"/>
          <w:color w:val="000000"/>
        </w:rPr>
        <w:t xml:space="preserve">” means paid employment for not less than 30 hours in each week for a period of not less than 12 months. </w:t>
      </w:r>
    </w:p>
    <w:p w14:paraId="496D3639" w14:textId="10FB408C" w:rsidR="00C2238B" w:rsidRDefault="00C2238B" w:rsidP="00C2238B">
      <w:pPr>
        <w:rPr>
          <w:rFonts w:cs="Arial"/>
          <w:color w:val="000000"/>
        </w:rPr>
      </w:pPr>
      <w:r w:rsidRPr="00C2238B">
        <w:rPr>
          <w:rFonts w:cs="Arial"/>
          <w:color w:val="000000"/>
        </w:rPr>
        <w:t>“</w:t>
      </w:r>
      <w:r w:rsidRPr="00C2238B">
        <w:rPr>
          <w:rFonts w:cs="Arial"/>
          <w:b/>
          <w:color w:val="000000"/>
        </w:rPr>
        <w:t>Permanently Incapable</w:t>
      </w:r>
      <w:r w:rsidRPr="00C2238B">
        <w:rPr>
          <w:rFonts w:cs="Arial"/>
          <w:color w:val="000000"/>
        </w:rPr>
        <w:t>” means that the member will, more likely than not, be incapable until at the earliest age 65.</w:t>
      </w:r>
    </w:p>
    <w:p w14:paraId="09D1A95E" w14:textId="77777777" w:rsidR="00C2238B" w:rsidRDefault="00C2238B" w:rsidP="00C2238B">
      <w:pPr>
        <w:rPr>
          <w:rFonts w:cs="Arial"/>
          <w:color w:val="000000"/>
        </w:rPr>
      </w:pPr>
    </w:p>
    <w:p w14:paraId="64DC9556" w14:textId="77777777" w:rsidR="00C2238B" w:rsidRPr="002E00D6" w:rsidRDefault="00C2238B" w:rsidP="002E00D6">
      <w:pPr>
        <w:pStyle w:val="Heading1"/>
        <w:rPr>
          <w:sz w:val="28"/>
          <w:szCs w:val="28"/>
        </w:rPr>
      </w:pPr>
      <w:r w:rsidRPr="002E00D6">
        <w:rPr>
          <w:sz w:val="28"/>
          <w:szCs w:val="28"/>
        </w:rPr>
        <w:t>Making the Decision</w:t>
      </w:r>
    </w:p>
    <w:p w14:paraId="7D59E57F" w14:textId="77777777" w:rsidR="00C2238B" w:rsidRPr="00C2238B" w:rsidRDefault="00C2238B" w:rsidP="00C2238B">
      <w:pPr>
        <w:rPr>
          <w:rFonts w:cs="Arial"/>
        </w:rPr>
      </w:pPr>
    </w:p>
    <w:p w14:paraId="7CC6477F" w14:textId="7049708D" w:rsidR="00C2238B" w:rsidRPr="00C2238B" w:rsidRDefault="00113B0C" w:rsidP="00C2238B">
      <w:pPr>
        <w:rPr>
          <w:rFonts w:cs="Arial"/>
        </w:rPr>
      </w:pPr>
      <w:r>
        <w:rPr>
          <w:rFonts w:cs="Arial"/>
        </w:rPr>
        <w:t>Cumbria Fire &amp; Rescue Service</w:t>
      </w:r>
      <w:r w:rsidR="00C2238B" w:rsidRPr="00C2238B">
        <w:rPr>
          <w:rFonts w:cs="Arial"/>
        </w:rPr>
        <w:t xml:space="preserve"> are not bound by the IRMP’s opinion and are entitled to consider other evidence when arriving at the decision. The decision will be made by the Senior Manager with the support of People Management / HR Provider to ensure consistent decision making and correct application of the regulations. The senior manager must have all the relevant details including other options which have been explored, on which to make an informed decision. This may require seeking further medical information and / or opinion. </w:t>
      </w:r>
    </w:p>
    <w:p w14:paraId="5DB1D7D5" w14:textId="77777777" w:rsidR="00C2238B" w:rsidRPr="00C2238B" w:rsidRDefault="00C2238B" w:rsidP="00C2238B">
      <w:pPr>
        <w:rPr>
          <w:rFonts w:cs="Arial"/>
        </w:rPr>
      </w:pPr>
    </w:p>
    <w:p w14:paraId="0AB1FA99" w14:textId="75E4C31A" w:rsidR="00C2238B" w:rsidRPr="00C2238B" w:rsidRDefault="00C2238B" w:rsidP="00C2238B">
      <w:pPr>
        <w:rPr>
          <w:rFonts w:cs="Arial"/>
        </w:rPr>
      </w:pPr>
      <w:r w:rsidRPr="00C2238B">
        <w:rPr>
          <w:rFonts w:cs="Arial"/>
        </w:rPr>
        <w:t>Any decision to award ill health retirement pension benefits will result in a cost to the Directorate</w:t>
      </w:r>
      <w:r w:rsidR="00113B0C">
        <w:rPr>
          <w:rFonts w:cs="Arial"/>
        </w:rPr>
        <w:t xml:space="preserve"> </w:t>
      </w:r>
      <w:r w:rsidRPr="00C2238B">
        <w:rPr>
          <w:rFonts w:cs="Arial"/>
        </w:rPr>
        <w:t xml:space="preserve">and whilst this is not a factor in the decision, budget managers need to ensure the costs are accounted for. </w:t>
      </w:r>
    </w:p>
    <w:p w14:paraId="68E7687E" w14:textId="77777777" w:rsidR="00C2238B" w:rsidRPr="00C2238B" w:rsidRDefault="00C2238B" w:rsidP="00C2238B">
      <w:pPr>
        <w:rPr>
          <w:sz w:val="20"/>
        </w:rPr>
      </w:pPr>
    </w:p>
    <w:p w14:paraId="10A08A5C" w14:textId="77777777" w:rsidR="00C2238B" w:rsidRPr="002E00D6" w:rsidRDefault="00C2238B" w:rsidP="002E00D6">
      <w:pPr>
        <w:pStyle w:val="Heading1"/>
        <w:rPr>
          <w:sz w:val="28"/>
          <w:szCs w:val="28"/>
        </w:rPr>
      </w:pPr>
      <w:hyperlink r:id="rId11" w:tgtFrame="_new" w:tooltip="View this document (eLibrary ref #52402)" w:history="1">
        <w:r w:rsidRPr="002E00D6">
          <w:rPr>
            <w:sz w:val="28"/>
            <w:szCs w:val="28"/>
          </w:rPr>
          <w:t>Process</w:t>
        </w:r>
      </w:hyperlink>
      <w:r w:rsidRPr="002E00D6">
        <w:rPr>
          <w:sz w:val="28"/>
          <w:szCs w:val="28"/>
        </w:rPr>
        <w:t>ing the Decision</w:t>
      </w:r>
    </w:p>
    <w:p w14:paraId="79E8A411" w14:textId="77777777" w:rsidR="00C2238B" w:rsidRPr="00C2238B" w:rsidRDefault="00C2238B" w:rsidP="00C2238B"/>
    <w:p w14:paraId="6CEB064D" w14:textId="77777777" w:rsidR="00C2238B" w:rsidRPr="00C2238B" w:rsidRDefault="00C2238B" w:rsidP="00C2238B">
      <w:r w:rsidRPr="00C2238B">
        <w:t>Following receipt of the Occupational Health report and Active Member Ill Health Certificate</w:t>
      </w:r>
      <w:r w:rsidRPr="00C2238B">
        <w:rPr>
          <w:sz w:val="20"/>
        </w:rPr>
        <w:t xml:space="preserve"> </w:t>
      </w:r>
      <w:r w:rsidRPr="00C2238B">
        <w:t xml:space="preserve">the manager will notify People Management / HR provider who will request a pension estimate from LPPA. </w:t>
      </w:r>
    </w:p>
    <w:p w14:paraId="0F5DA7FE" w14:textId="77777777" w:rsidR="00C2238B" w:rsidRPr="00C2238B" w:rsidRDefault="00C2238B" w:rsidP="00C2238B"/>
    <w:p w14:paraId="17028408" w14:textId="641DB00F" w:rsidR="00C2238B" w:rsidRPr="00C2238B" w:rsidRDefault="00C2238B" w:rsidP="00C2238B">
      <w:r w:rsidRPr="00C2238B">
        <w:t xml:space="preserve">Following receipt of the pension estimate People Management / HR Provider will complete the notification form which can be found in appendix 1 and send this to the Assistant Director and Finance Manager / Finance Manager so they can consider the cost in relation to the budget.  </w:t>
      </w:r>
    </w:p>
    <w:p w14:paraId="568FE8B1" w14:textId="77777777" w:rsidR="00C2238B" w:rsidRPr="00C2238B" w:rsidRDefault="00C2238B" w:rsidP="00C2238B"/>
    <w:p w14:paraId="69DEBA92" w14:textId="45C671C5" w:rsidR="00C2238B" w:rsidRPr="00C2238B" w:rsidRDefault="00C2238B" w:rsidP="00C2238B">
      <w:r w:rsidRPr="00C2238B">
        <w:t>The manager will meet with the employee to review the pension benefits and arrange a meeting in line with the Absence and Wellbeing procedure</w:t>
      </w:r>
      <w:r w:rsidR="00113B0C">
        <w:t>.</w:t>
      </w:r>
    </w:p>
    <w:p w14:paraId="20A85EF0" w14:textId="77777777" w:rsidR="00C2238B" w:rsidRPr="00C2238B" w:rsidRDefault="00C2238B" w:rsidP="00C2238B"/>
    <w:p w14:paraId="764EE63D" w14:textId="67FFC199" w:rsidR="00C2238B" w:rsidRPr="00C2238B" w:rsidRDefault="00C2238B" w:rsidP="00C2238B">
      <w:r w:rsidRPr="00C2238B">
        <w:t>Following the meeting the manager will complete the termination of employment on the Service Centre Portal and attach the Active Member Ill Health Certificate and pension estimate</w:t>
      </w:r>
      <w:r w:rsidR="00113B0C">
        <w:t>.</w:t>
      </w:r>
      <w:r w:rsidRPr="00C2238B">
        <w:t xml:space="preserve"> </w:t>
      </w:r>
    </w:p>
    <w:p w14:paraId="4BE3B62F" w14:textId="77777777" w:rsidR="00C2238B" w:rsidRPr="00C2238B" w:rsidRDefault="00C2238B" w:rsidP="00C2238B">
      <w:pPr>
        <w:spacing w:line="240" w:lineRule="auto"/>
        <w:rPr>
          <w:szCs w:val="20"/>
        </w:rPr>
      </w:pPr>
    </w:p>
    <w:p w14:paraId="79D10502" w14:textId="77777777" w:rsidR="00C2238B" w:rsidRPr="002E00D6" w:rsidRDefault="00C2238B" w:rsidP="002E00D6">
      <w:pPr>
        <w:pStyle w:val="Heading1"/>
        <w:rPr>
          <w:sz w:val="28"/>
          <w:szCs w:val="28"/>
        </w:rPr>
      </w:pPr>
      <w:r w:rsidRPr="002E00D6">
        <w:rPr>
          <w:sz w:val="28"/>
          <w:szCs w:val="28"/>
        </w:rPr>
        <w:t>Appeals</w:t>
      </w:r>
    </w:p>
    <w:p w14:paraId="62BA190F" w14:textId="77777777" w:rsidR="00C2238B" w:rsidRPr="00C2238B" w:rsidRDefault="00C2238B" w:rsidP="00C2238B">
      <w:pPr>
        <w:spacing w:line="240" w:lineRule="auto"/>
        <w:rPr>
          <w:szCs w:val="20"/>
        </w:rPr>
      </w:pPr>
    </w:p>
    <w:p w14:paraId="18602DB1" w14:textId="61BC3D07" w:rsidR="00C2238B" w:rsidRPr="00C2238B" w:rsidRDefault="00C2238B" w:rsidP="00C2238B">
      <w:pPr>
        <w:spacing w:line="240" w:lineRule="auto"/>
        <w:rPr>
          <w:color w:val="C00000"/>
          <w:szCs w:val="20"/>
        </w:rPr>
      </w:pPr>
      <w:r w:rsidRPr="00C2238B">
        <w:rPr>
          <w:szCs w:val="20"/>
        </w:rPr>
        <w:t xml:space="preserve">An employee can appeal against the tier of ill health benefits awarded. Further details are available in the </w:t>
      </w:r>
      <w:hyperlink r:id="rId12" w:history="1">
        <w:r w:rsidRPr="00C2238B">
          <w:rPr>
            <w:b/>
            <w:color w:val="C00000"/>
            <w:szCs w:val="20"/>
          </w:rPr>
          <w:t>LGPS Internal Dispute Resolution (appeal) procedure</w:t>
        </w:r>
      </w:hyperlink>
      <w:r w:rsidRPr="00C2238B">
        <w:rPr>
          <w:color w:val="C00000"/>
          <w:szCs w:val="20"/>
        </w:rPr>
        <w:t xml:space="preserve"> </w:t>
      </w:r>
      <w:r w:rsidRPr="00C2238B">
        <w:rPr>
          <w:szCs w:val="20"/>
        </w:rPr>
        <w:t xml:space="preserve">on InTouch portal and the LPPA website </w:t>
      </w:r>
      <w:hyperlink r:id="rId13" w:history="1">
        <w:r w:rsidRPr="00C2238B">
          <w:rPr>
            <w:b/>
            <w:color w:val="C00000"/>
            <w:szCs w:val="20"/>
          </w:rPr>
          <w:t>Contact Us • Local Pensions Partnership Administration (lppapensions.co.uk)</w:t>
        </w:r>
      </w:hyperlink>
    </w:p>
    <w:p w14:paraId="3CC59F97" w14:textId="77777777" w:rsidR="00C2238B" w:rsidRPr="00C2238B" w:rsidRDefault="00C2238B" w:rsidP="00C2238B">
      <w:pPr>
        <w:spacing w:line="240" w:lineRule="auto"/>
        <w:rPr>
          <w:szCs w:val="20"/>
        </w:rPr>
      </w:pPr>
    </w:p>
    <w:p w14:paraId="025DD5B8" w14:textId="3B1C47D0" w:rsidR="00C2238B" w:rsidRDefault="00C2238B" w:rsidP="00C2238B">
      <w:pPr>
        <w:rPr>
          <w:szCs w:val="20"/>
        </w:rPr>
      </w:pPr>
      <w:r w:rsidRPr="00C2238B">
        <w:rPr>
          <w:szCs w:val="20"/>
        </w:rPr>
        <w:t xml:space="preserve">The employee has the right to appeal against the dismissal and the process for this appeal can be found in the </w:t>
      </w:r>
      <w:hyperlink r:id="rId14" w:history="1">
        <w:r w:rsidRPr="002E00D6">
          <w:rPr>
            <w:b/>
            <w:color w:val="C00000"/>
            <w:szCs w:val="20"/>
          </w:rPr>
          <w:t>Absence and wellbeing Guidance</w:t>
        </w:r>
      </w:hyperlink>
      <w:r w:rsidRPr="00C2238B">
        <w:rPr>
          <w:szCs w:val="20"/>
        </w:rPr>
        <w:t xml:space="preserve"> on InTouch</w:t>
      </w:r>
      <w:r w:rsidR="002E00D6">
        <w:rPr>
          <w:szCs w:val="20"/>
        </w:rPr>
        <w:t>.</w:t>
      </w:r>
    </w:p>
    <w:p w14:paraId="56D8D572" w14:textId="77777777" w:rsidR="00C2238B" w:rsidRDefault="00C2238B" w:rsidP="00C2238B">
      <w:pPr>
        <w:rPr>
          <w:szCs w:val="20"/>
        </w:rPr>
      </w:pPr>
    </w:p>
    <w:p w14:paraId="0E882C55" w14:textId="77777777" w:rsidR="00C2238B" w:rsidRPr="002E00D6" w:rsidRDefault="00C2238B" w:rsidP="002E00D6">
      <w:pPr>
        <w:pStyle w:val="Heading1"/>
        <w:rPr>
          <w:sz w:val="28"/>
          <w:szCs w:val="28"/>
        </w:rPr>
      </w:pPr>
      <w:r w:rsidRPr="002E00D6">
        <w:rPr>
          <w:sz w:val="28"/>
          <w:szCs w:val="28"/>
        </w:rPr>
        <w:lastRenderedPageBreak/>
        <w:t xml:space="preserve">LPPA responsibilities </w:t>
      </w:r>
    </w:p>
    <w:p w14:paraId="1919823D" w14:textId="77777777" w:rsidR="00C2238B" w:rsidRPr="00C2238B" w:rsidRDefault="00C2238B" w:rsidP="00C2238B">
      <w:pPr>
        <w:spacing w:line="240" w:lineRule="auto"/>
        <w:rPr>
          <w:rFonts w:cs="Arial"/>
        </w:rPr>
      </w:pPr>
    </w:p>
    <w:p w14:paraId="02A60AF9" w14:textId="77777777" w:rsidR="00C2238B" w:rsidRPr="00C2238B" w:rsidRDefault="00C2238B" w:rsidP="00C2238B">
      <w:pPr>
        <w:spacing w:line="240" w:lineRule="auto"/>
        <w:rPr>
          <w:rFonts w:cs="Arial"/>
        </w:rPr>
      </w:pPr>
      <w:r w:rsidRPr="00C2238B">
        <w:rPr>
          <w:rFonts w:cs="Arial"/>
        </w:rPr>
        <w:t xml:space="preserve">Where the decision is made to agree to the release of pension benefits in relation to ill health retirement LPPA will write to the employee to give them their retirement payment options and process and pay the pension benefits. </w:t>
      </w:r>
    </w:p>
    <w:p w14:paraId="36FF9766" w14:textId="77777777" w:rsidR="00C2238B" w:rsidRPr="00C2238B" w:rsidRDefault="00C2238B" w:rsidP="00C2238B">
      <w:pPr>
        <w:spacing w:line="240" w:lineRule="auto"/>
        <w:rPr>
          <w:rFonts w:ascii="Arial Black" w:hAnsi="Arial Black" w:cs="Arial"/>
          <w:color w:val="0082AA"/>
          <w:sz w:val="28"/>
          <w:szCs w:val="28"/>
        </w:rPr>
      </w:pPr>
    </w:p>
    <w:p w14:paraId="065FEC97" w14:textId="77777777" w:rsidR="00C2238B" w:rsidRPr="002E00D6" w:rsidRDefault="00C2238B" w:rsidP="002E00D6">
      <w:pPr>
        <w:pStyle w:val="Heading1"/>
        <w:rPr>
          <w:color w:val="215868" w:themeColor="accent5" w:themeShade="80"/>
          <w:sz w:val="28"/>
          <w:szCs w:val="28"/>
        </w:rPr>
      </w:pPr>
      <w:r w:rsidRPr="002E00D6">
        <w:rPr>
          <w:sz w:val="28"/>
          <w:szCs w:val="28"/>
        </w:rPr>
        <w:t>Review</w:t>
      </w:r>
      <w:r w:rsidRPr="002E00D6">
        <w:rPr>
          <w:color w:val="215868" w:themeColor="accent5" w:themeShade="80"/>
          <w:sz w:val="28"/>
          <w:szCs w:val="28"/>
        </w:rPr>
        <w:t xml:space="preserve"> </w:t>
      </w:r>
    </w:p>
    <w:p w14:paraId="290420BE" w14:textId="77777777" w:rsidR="00C2238B" w:rsidRPr="00C2238B" w:rsidRDefault="00C2238B" w:rsidP="00C2238B">
      <w:pPr>
        <w:spacing w:line="240" w:lineRule="auto"/>
        <w:rPr>
          <w:szCs w:val="20"/>
        </w:rPr>
      </w:pPr>
    </w:p>
    <w:p w14:paraId="1E68E23B" w14:textId="77777777" w:rsidR="00C2238B" w:rsidRPr="00C2238B" w:rsidRDefault="00C2238B" w:rsidP="00C2238B">
      <w:pPr>
        <w:spacing w:line="240" w:lineRule="auto"/>
        <w:rPr>
          <w:szCs w:val="20"/>
        </w:rPr>
      </w:pPr>
      <w:r w:rsidRPr="00C2238B">
        <w:rPr>
          <w:szCs w:val="20"/>
        </w:rPr>
        <w:t xml:space="preserve">This procedure will be reviewed periodically in the light of developments in the law, pensions regulations, and changes in the needs of the organisation in order to ensure continuing effectiveness and relevance. </w:t>
      </w:r>
    </w:p>
    <w:p w14:paraId="2C3E923E" w14:textId="77777777" w:rsidR="00C2238B" w:rsidRPr="00C2238B" w:rsidRDefault="00C2238B" w:rsidP="00113B0C">
      <w:pPr>
        <w:tabs>
          <w:tab w:val="num" w:pos="780"/>
        </w:tabs>
        <w:rPr>
          <w:rFonts w:cs="Arial"/>
          <w:sz w:val="20"/>
        </w:rPr>
      </w:pPr>
    </w:p>
    <w:p w14:paraId="777D1AE1" w14:textId="77777777" w:rsidR="00C2238B" w:rsidRPr="00C2238B" w:rsidRDefault="00C2238B" w:rsidP="00C2238B">
      <w:pPr>
        <w:spacing w:line="240" w:lineRule="auto"/>
        <w:ind w:hanging="27"/>
        <w:rPr>
          <w:rFonts w:cs="Arial"/>
          <w:b/>
          <w:lang w:eastAsia="en-US"/>
        </w:rPr>
      </w:pPr>
      <w:bookmarkStart w:id="0" w:name="Section4c"/>
      <w:bookmarkStart w:id="1" w:name="Section4d"/>
      <w:bookmarkStart w:id="2" w:name="Section5"/>
      <w:bookmarkStart w:id="3" w:name="Section6"/>
      <w:bookmarkEnd w:id="0"/>
      <w:bookmarkEnd w:id="1"/>
      <w:bookmarkEnd w:id="2"/>
      <w:bookmarkEnd w:id="3"/>
    </w:p>
    <w:p w14:paraId="157D1916" w14:textId="77777777" w:rsidR="00C2238B" w:rsidRPr="00C2238B" w:rsidRDefault="00C2238B" w:rsidP="00C2238B">
      <w:pPr>
        <w:spacing w:line="240" w:lineRule="auto"/>
        <w:ind w:hanging="27"/>
        <w:rPr>
          <w:rFonts w:cs="Arial"/>
          <w:b/>
          <w:lang w:eastAsia="en-US"/>
        </w:rPr>
      </w:pPr>
    </w:p>
    <w:p w14:paraId="16CB40F8" w14:textId="1D8969A4" w:rsidR="00C2238B" w:rsidRPr="00C2238B" w:rsidRDefault="00C2238B" w:rsidP="00C2238B">
      <w:pPr>
        <w:rPr>
          <w:rFonts w:cs="Arial"/>
          <w:b/>
          <w:bCs/>
          <w:color w:val="000000"/>
        </w:rPr>
      </w:pPr>
      <w:r w:rsidRPr="00C2238B">
        <w:rPr>
          <w:rFonts w:cs="Arial"/>
          <w:b/>
          <w:bCs/>
          <w:color w:val="000000"/>
        </w:rPr>
        <w:t>August 2018</w:t>
      </w:r>
    </w:p>
    <w:p w14:paraId="33564443" w14:textId="77777777" w:rsidR="00C2238B" w:rsidRPr="00C2238B" w:rsidRDefault="00C2238B" w:rsidP="00C2238B">
      <w:pPr>
        <w:rPr>
          <w:rFonts w:cs="Arial"/>
        </w:rPr>
      </w:pPr>
    </w:p>
    <w:p w14:paraId="7398A37C" w14:textId="77777777" w:rsidR="00C2238B" w:rsidRPr="00C2238B" w:rsidRDefault="00C2238B" w:rsidP="00C2238B">
      <w:pPr>
        <w:spacing w:line="240" w:lineRule="auto"/>
        <w:rPr>
          <w:rFonts w:cs="Arial"/>
        </w:rPr>
      </w:pPr>
    </w:p>
    <w:p w14:paraId="60F13757" w14:textId="2E3FE2D4" w:rsidR="00C2238B" w:rsidRPr="00C2238B" w:rsidRDefault="00C2238B" w:rsidP="00C2238B">
      <w:pPr>
        <w:spacing w:line="240" w:lineRule="auto"/>
        <w:rPr>
          <w:szCs w:val="20"/>
        </w:rPr>
      </w:pPr>
      <w:r w:rsidRPr="00C2238B">
        <w:rPr>
          <w:szCs w:val="20"/>
        </w:rPr>
        <w:t xml:space="preserve">    </w:t>
      </w:r>
    </w:p>
    <w:p w14:paraId="7B8EE6AF" w14:textId="43F2A26D" w:rsidR="005A1EE8" w:rsidRDefault="005A1EE8" w:rsidP="0064303C">
      <w:pPr>
        <w:spacing w:before="120" w:after="120" w:line="240" w:lineRule="auto"/>
        <w:jc w:val="both"/>
        <w:rPr>
          <w:rFonts w:cs="Arial"/>
          <w:bCs/>
          <w:color w:val="393938"/>
        </w:rPr>
      </w:pPr>
    </w:p>
    <w:p w14:paraId="2C1AED0B" w14:textId="20049504" w:rsidR="00835F95" w:rsidRDefault="00835F95" w:rsidP="0064303C">
      <w:pPr>
        <w:spacing w:before="120" w:after="120" w:line="240" w:lineRule="auto"/>
        <w:jc w:val="both"/>
        <w:rPr>
          <w:rFonts w:cs="Arial"/>
          <w:bCs/>
          <w:color w:val="393938"/>
        </w:rPr>
      </w:pPr>
    </w:p>
    <w:p w14:paraId="6AD58202" w14:textId="1BE9727A" w:rsidR="00835F95" w:rsidRDefault="00835F95" w:rsidP="0064303C">
      <w:pPr>
        <w:spacing w:before="120" w:after="120" w:line="240" w:lineRule="auto"/>
        <w:jc w:val="both"/>
        <w:rPr>
          <w:rFonts w:cs="Arial"/>
          <w:bCs/>
          <w:color w:val="393938"/>
        </w:rPr>
      </w:pPr>
    </w:p>
    <w:p w14:paraId="65D96D96" w14:textId="614E0754"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3A661219" w:rsidR="00835F95" w:rsidRDefault="00835F95" w:rsidP="0064303C">
      <w:pPr>
        <w:spacing w:before="120" w:after="120" w:line="240" w:lineRule="auto"/>
        <w:jc w:val="both"/>
        <w:rPr>
          <w:rFonts w:cs="Arial"/>
          <w:bCs/>
          <w:color w:val="393938"/>
        </w:rPr>
      </w:pPr>
    </w:p>
    <w:p w14:paraId="73DED182" w14:textId="77777777" w:rsidR="00113B0C" w:rsidRDefault="00113B0C" w:rsidP="0064303C">
      <w:pPr>
        <w:spacing w:before="120" w:after="120" w:line="240" w:lineRule="auto"/>
        <w:jc w:val="both"/>
        <w:rPr>
          <w:rFonts w:cs="Arial"/>
          <w:bCs/>
          <w:color w:val="393938"/>
        </w:rPr>
      </w:pPr>
    </w:p>
    <w:p w14:paraId="2FD2E813" w14:textId="77777777" w:rsidR="00113B0C" w:rsidRDefault="00113B0C" w:rsidP="0064303C">
      <w:pPr>
        <w:spacing w:before="120" w:after="120" w:line="240" w:lineRule="auto"/>
        <w:jc w:val="both"/>
        <w:rPr>
          <w:rFonts w:cs="Arial"/>
          <w:bCs/>
          <w:color w:val="393938"/>
        </w:rPr>
      </w:pPr>
    </w:p>
    <w:p w14:paraId="1AD922D9" w14:textId="77777777" w:rsidR="00113B0C" w:rsidRDefault="00113B0C" w:rsidP="0064303C">
      <w:pPr>
        <w:spacing w:before="120" w:after="120" w:line="240" w:lineRule="auto"/>
        <w:jc w:val="both"/>
        <w:rPr>
          <w:rFonts w:cs="Arial"/>
          <w:bCs/>
          <w:color w:val="393938"/>
        </w:rPr>
      </w:pPr>
    </w:p>
    <w:p w14:paraId="7551257E" w14:textId="77777777" w:rsidR="00113B0C" w:rsidRDefault="00113B0C" w:rsidP="0064303C">
      <w:pPr>
        <w:spacing w:before="120" w:after="120" w:line="240" w:lineRule="auto"/>
        <w:jc w:val="both"/>
        <w:rPr>
          <w:rFonts w:cs="Arial"/>
          <w:bCs/>
          <w:color w:val="393938"/>
        </w:rPr>
      </w:pPr>
    </w:p>
    <w:p w14:paraId="4F8D8581" w14:textId="77777777" w:rsidR="00113B0C" w:rsidRDefault="00113B0C" w:rsidP="0064303C">
      <w:pPr>
        <w:spacing w:before="120" w:after="120" w:line="240" w:lineRule="auto"/>
        <w:jc w:val="both"/>
        <w:rPr>
          <w:rFonts w:cs="Arial"/>
          <w:bCs/>
          <w:color w:val="393938"/>
        </w:rPr>
      </w:pPr>
    </w:p>
    <w:p w14:paraId="67B61CAD" w14:textId="77777777" w:rsidR="00113B0C" w:rsidRDefault="00113B0C" w:rsidP="0064303C">
      <w:pPr>
        <w:spacing w:before="120" w:after="120" w:line="240" w:lineRule="auto"/>
        <w:jc w:val="both"/>
        <w:rPr>
          <w:rFonts w:cs="Arial"/>
          <w:bCs/>
          <w:color w:val="393938"/>
        </w:rPr>
      </w:pPr>
    </w:p>
    <w:p w14:paraId="7F040A34" w14:textId="77777777" w:rsidR="00113B0C" w:rsidRDefault="00113B0C" w:rsidP="0064303C">
      <w:pPr>
        <w:spacing w:before="120" w:after="120" w:line="240" w:lineRule="auto"/>
        <w:jc w:val="both"/>
        <w:rPr>
          <w:rFonts w:cs="Arial"/>
          <w:bCs/>
          <w:color w:val="393938"/>
        </w:rPr>
      </w:pPr>
    </w:p>
    <w:p w14:paraId="31FAD2BA" w14:textId="77777777" w:rsidR="00113B0C" w:rsidRDefault="00113B0C" w:rsidP="0064303C">
      <w:pPr>
        <w:spacing w:before="120" w:after="120" w:line="240" w:lineRule="auto"/>
        <w:jc w:val="both"/>
        <w:rPr>
          <w:rFonts w:cs="Arial"/>
          <w:bCs/>
          <w:color w:val="393938"/>
        </w:rPr>
      </w:pPr>
    </w:p>
    <w:p w14:paraId="1C738F09" w14:textId="77777777" w:rsidR="00113B0C" w:rsidRDefault="00113B0C" w:rsidP="0064303C">
      <w:pPr>
        <w:spacing w:before="120" w:after="120" w:line="240" w:lineRule="auto"/>
        <w:jc w:val="both"/>
        <w:rPr>
          <w:rFonts w:cs="Arial"/>
          <w:bCs/>
          <w:color w:val="393938"/>
        </w:rPr>
      </w:pPr>
    </w:p>
    <w:p w14:paraId="60177480" w14:textId="77777777" w:rsidR="00113B0C" w:rsidRDefault="00113B0C"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03F23ECD" w14:textId="77777777" w:rsidR="00113B0C" w:rsidRDefault="00113B0C" w:rsidP="0064303C">
      <w:pPr>
        <w:spacing w:before="120" w:after="120" w:line="240" w:lineRule="auto"/>
        <w:jc w:val="both"/>
        <w:rPr>
          <w:rFonts w:cs="Arial"/>
          <w:bCs/>
          <w:color w:val="393938"/>
        </w:rPr>
      </w:pPr>
    </w:p>
    <w:p w14:paraId="2030792C" w14:textId="77777777" w:rsidR="00113B0C" w:rsidRDefault="00113B0C" w:rsidP="0064303C">
      <w:pPr>
        <w:spacing w:before="120" w:after="120" w:line="240" w:lineRule="auto"/>
        <w:jc w:val="both"/>
        <w:rPr>
          <w:rFonts w:cs="Arial"/>
          <w:bCs/>
          <w:color w:val="393938"/>
        </w:rPr>
      </w:pPr>
    </w:p>
    <w:p w14:paraId="7B30E7D7" w14:textId="77777777" w:rsidR="00C2238B" w:rsidRPr="00C2238B" w:rsidRDefault="00C2238B" w:rsidP="00C2238B">
      <w:pPr>
        <w:spacing w:line="240" w:lineRule="auto"/>
        <w:rPr>
          <w:sz w:val="20"/>
          <w:szCs w:val="20"/>
        </w:rPr>
      </w:pPr>
      <w:r w:rsidRPr="00C2238B">
        <w:lastRenderedPageBreak/>
        <w:t xml:space="preserve">Appendix 1 – Ill Health Medical Notification Form </w:t>
      </w:r>
      <w:r w:rsidRPr="00C2238B">
        <w:rPr>
          <w:sz w:val="20"/>
          <w:szCs w:val="20"/>
        </w:rPr>
        <w:t>(Send to AD, Finance Manager &amp; People Management)</w:t>
      </w:r>
    </w:p>
    <w:p w14:paraId="1E3B1347" w14:textId="77777777" w:rsidR="00C2238B" w:rsidRPr="00C2238B" w:rsidRDefault="00C2238B" w:rsidP="00C2238B">
      <w:pPr>
        <w:rPr>
          <w:sz w:val="20"/>
          <w:szCs w:val="20"/>
        </w:rPr>
      </w:pPr>
    </w:p>
    <w:p w14:paraId="5B5F3B1F" w14:textId="77777777" w:rsidR="00C2238B" w:rsidRPr="00C2238B" w:rsidRDefault="00C2238B" w:rsidP="00C2238B">
      <w:pPr>
        <w:jc w:val="center"/>
        <w:rPr>
          <w:rFonts w:cs="Arial"/>
          <w:b/>
        </w:rPr>
      </w:pPr>
      <w:r w:rsidRPr="00C2238B">
        <w:rPr>
          <w:rFonts w:cs="Arial"/>
          <w:b/>
        </w:rPr>
        <w:t>Ill Health Medical Notification Form</w:t>
      </w:r>
    </w:p>
    <w:p w14:paraId="6F6BF42B" w14:textId="77777777" w:rsidR="00C2238B" w:rsidRPr="00C2238B" w:rsidRDefault="00C2238B" w:rsidP="00C2238B">
      <w:pPr>
        <w:jc w:val="center"/>
        <w:rPr>
          <w:rFonts w:cs="Arial"/>
          <w:b/>
        </w:rPr>
      </w:pPr>
      <w:r w:rsidRPr="00C2238B">
        <w:rPr>
          <w:rFonts w:cs="Arial"/>
          <w:b/>
        </w:rPr>
        <w:t xml:space="preserve">To be completed by the manager </w:t>
      </w:r>
    </w:p>
    <w:p w14:paraId="1B8302A5" w14:textId="77777777" w:rsidR="00C2238B" w:rsidRPr="00C2238B" w:rsidRDefault="00C2238B" w:rsidP="00C2238B">
      <w:pPr>
        <w:rPr>
          <w:rFonts w:cs="Arial"/>
        </w:rPr>
      </w:pPr>
    </w:p>
    <w:tbl>
      <w:tblPr>
        <w:tblStyle w:val="TableGrid"/>
        <w:tblW w:w="0" w:type="auto"/>
        <w:tblLook w:val="04A0" w:firstRow="1" w:lastRow="0" w:firstColumn="1" w:lastColumn="0" w:noHBand="0" w:noVBand="1"/>
      </w:tblPr>
      <w:tblGrid>
        <w:gridCol w:w="4390"/>
        <w:gridCol w:w="5804"/>
      </w:tblGrid>
      <w:tr w:rsidR="00C2238B" w:rsidRPr="00C2238B" w14:paraId="4BA8B6B4" w14:textId="77777777" w:rsidTr="00A32893">
        <w:tc>
          <w:tcPr>
            <w:tcW w:w="4390" w:type="dxa"/>
          </w:tcPr>
          <w:p w14:paraId="0C093283" w14:textId="77777777" w:rsidR="00C2238B" w:rsidRPr="00C2238B" w:rsidRDefault="00C2238B" w:rsidP="00C2238B">
            <w:pPr>
              <w:rPr>
                <w:rFonts w:cs="Arial"/>
              </w:rPr>
            </w:pPr>
            <w:r w:rsidRPr="00C2238B">
              <w:rPr>
                <w:rFonts w:cs="Arial"/>
              </w:rPr>
              <w:t>Employee Name:</w:t>
            </w:r>
          </w:p>
        </w:tc>
        <w:tc>
          <w:tcPr>
            <w:tcW w:w="5804" w:type="dxa"/>
          </w:tcPr>
          <w:p w14:paraId="57E37267" w14:textId="77777777" w:rsidR="00C2238B" w:rsidRPr="00C2238B" w:rsidRDefault="00C2238B" w:rsidP="00C2238B">
            <w:pPr>
              <w:rPr>
                <w:rFonts w:cs="Arial"/>
              </w:rPr>
            </w:pPr>
          </w:p>
        </w:tc>
      </w:tr>
      <w:tr w:rsidR="00C2238B" w:rsidRPr="00C2238B" w14:paraId="0BA0B538" w14:textId="77777777" w:rsidTr="00A32893">
        <w:tc>
          <w:tcPr>
            <w:tcW w:w="4390" w:type="dxa"/>
          </w:tcPr>
          <w:p w14:paraId="2275F6B4" w14:textId="77777777" w:rsidR="00C2238B" w:rsidRPr="00C2238B" w:rsidRDefault="00C2238B" w:rsidP="00C2238B">
            <w:pPr>
              <w:rPr>
                <w:rFonts w:cs="Arial"/>
              </w:rPr>
            </w:pPr>
            <w:r w:rsidRPr="00C2238B">
              <w:rPr>
                <w:rFonts w:cs="Arial"/>
              </w:rPr>
              <w:t>DOB:</w:t>
            </w:r>
          </w:p>
        </w:tc>
        <w:tc>
          <w:tcPr>
            <w:tcW w:w="5804" w:type="dxa"/>
          </w:tcPr>
          <w:p w14:paraId="22860CAB" w14:textId="77777777" w:rsidR="00C2238B" w:rsidRPr="00C2238B" w:rsidRDefault="00C2238B" w:rsidP="00C2238B">
            <w:pPr>
              <w:rPr>
                <w:rFonts w:cs="Arial"/>
              </w:rPr>
            </w:pPr>
          </w:p>
        </w:tc>
      </w:tr>
      <w:tr w:rsidR="00C2238B" w:rsidRPr="00C2238B" w14:paraId="77F6B0CB" w14:textId="77777777" w:rsidTr="00A32893">
        <w:tc>
          <w:tcPr>
            <w:tcW w:w="4390" w:type="dxa"/>
          </w:tcPr>
          <w:p w14:paraId="2F54E88E" w14:textId="77777777" w:rsidR="00C2238B" w:rsidRPr="00C2238B" w:rsidRDefault="00C2238B" w:rsidP="00C2238B">
            <w:pPr>
              <w:rPr>
                <w:rFonts w:cs="Arial"/>
              </w:rPr>
            </w:pPr>
            <w:r w:rsidRPr="00C2238B">
              <w:rPr>
                <w:rFonts w:cs="Arial"/>
              </w:rPr>
              <w:t>Length of Service:</w:t>
            </w:r>
          </w:p>
        </w:tc>
        <w:tc>
          <w:tcPr>
            <w:tcW w:w="5804" w:type="dxa"/>
          </w:tcPr>
          <w:p w14:paraId="676A66CD" w14:textId="77777777" w:rsidR="00C2238B" w:rsidRPr="00C2238B" w:rsidRDefault="00C2238B" w:rsidP="00C2238B">
            <w:pPr>
              <w:rPr>
                <w:rFonts w:cs="Arial"/>
              </w:rPr>
            </w:pPr>
          </w:p>
        </w:tc>
      </w:tr>
      <w:tr w:rsidR="00C2238B" w:rsidRPr="00C2238B" w14:paraId="12C78984" w14:textId="77777777" w:rsidTr="00A32893">
        <w:tc>
          <w:tcPr>
            <w:tcW w:w="4390" w:type="dxa"/>
          </w:tcPr>
          <w:p w14:paraId="4DE95248" w14:textId="77777777" w:rsidR="00C2238B" w:rsidRPr="00C2238B" w:rsidRDefault="00C2238B" w:rsidP="00C2238B">
            <w:pPr>
              <w:rPr>
                <w:rFonts w:cs="Arial"/>
              </w:rPr>
            </w:pPr>
            <w:r w:rsidRPr="00C2238B">
              <w:rPr>
                <w:rFonts w:cs="Arial"/>
              </w:rPr>
              <w:t>Current position within the directorate:</w:t>
            </w:r>
          </w:p>
        </w:tc>
        <w:tc>
          <w:tcPr>
            <w:tcW w:w="5804" w:type="dxa"/>
          </w:tcPr>
          <w:p w14:paraId="0B067BC9" w14:textId="77777777" w:rsidR="00C2238B" w:rsidRPr="00C2238B" w:rsidRDefault="00C2238B" w:rsidP="00C2238B">
            <w:pPr>
              <w:rPr>
                <w:rFonts w:cs="Arial"/>
              </w:rPr>
            </w:pPr>
          </w:p>
        </w:tc>
      </w:tr>
      <w:tr w:rsidR="00C2238B" w:rsidRPr="00C2238B" w14:paraId="21D080C7" w14:textId="77777777" w:rsidTr="00A32893">
        <w:tc>
          <w:tcPr>
            <w:tcW w:w="4390" w:type="dxa"/>
          </w:tcPr>
          <w:p w14:paraId="0BF348F9" w14:textId="77777777" w:rsidR="00C2238B" w:rsidRPr="00C2238B" w:rsidRDefault="00C2238B" w:rsidP="00C2238B">
            <w:pPr>
              <w:rPr>
                <w:rFonts w:cs="Arial"/>
              </w:rPr>
            </w:pPr>
            <w:r w:rsidRPr="00C2238B">
              <w:rPr>
                <w:rFonts w:cs="Arial"/>
              </w:rPr>
              <w:t>Manager leading on the case:</w:t>
            </w:r>
          </w:p>
        </w:tc>
        <w:tc>
          <w:tcPr>
            <w:tcW w:w="5804" w:type="dxa"/>
          </w:tcPr>
          <w:p w14:paraId="0F433EE5" w14:textId="77777777" w:rsidR="00C2238B" w:rsidRPr="00C2238B" w:rsidRDefault="00C2238B" w:rsidP="00C2238B">
            <w:pPr>
              <w:rPr>
                <w:rFonts w:cs="Arial"/>
              </w:rPr>
            </w:pPr>
          </w:p>
        </w:tc>
      </w:tr>
      <w:tr w:rsidR="00C2238B" w:rsidRPr="00C2238B" w14:paraId="072D2E2E" w14:textId="77777777" w:rsidTr="00A32893">
        <w:tc>
          <w:tcPr>
            <w:tcW w:w="4390" w:type="dxa"/>
          </w:tcPr>
          <w:p w14:paraId="56E924DD" w14:textId="77777777" w:rsidR="00C2238B" w:rsidRPr="00C2238B" w:rsidRDefault="00C2238B" w:rsidP="00C2238B">
            <w:pPr>
              <w:rPr>
                <w:rFonts w:cs="Arial"/>
              </w:rPr>
            </w:pPr>
            <w:r w:rsidRPr="00C2238B">
              <w:rPr>
                <w:rFonts w:cs="Arial"/>
              </w:rPr>
              <w:t>Tier level recommended by OHS Physician:</w:t>
            </w:r>
          </w:p>
        </w:tc>
        <w:tc>
          <w:tcPr>
            <w:tcW w:w="5804" w:type="dxa"/>
          </w:tcPr>
          <w:p w14:paraId="49381291" w14:textId="77777777" w:rsidR="00C2238B" w:rsidRPr="00C2238B" w:rsidRDefault="00C2238B" w:rsidP="00C2238B">
            <w:pPr>
              <w:rPr>
                <w:rFonts w:cs="Arial"/>
              </w:rPr>
            </w:pPr>
          </w:p>
        </w:tc>
      </w:tr>
      <w:tr w:rsidR="00C2238B" w:rsidRPr="00C2238B" w14:paraId="41FF6EB5" w14:textId="77777777" w:rsidTr="00A32893">
        <w:tc>
          <w:tcPr>
            <w:tcW w:w="4390" w:type="dxa"/>
          </w:tcPr>
          <w:p w14:paraId="6B514498" w14:textId="77777777" w:rsidR="00C2238B" w:rsidRPr="00C2238B" w:rsidRDefault="00C2238B" w:rsidP="00C2238B">
            <w:pPr>
              <w:rPr>
                <w:rFonts w:cs="Arial"/>
              </w:rPr>
            </w:pPr>
            <w:r w:rsidRPr="00C2238B">
              <w:rPr>
                <w:rFonts w:cs="Arial"/>
              </w:rPr>
              <w:t>If Tier 3 indicate date of review:</w:t>
            </w:r>
          </w:p>
        </w:tc>
        <w:tc>
          <w:tcPr>
            <w:tcW w:w="5804" w:type="dxa"/>
          </w:tcPr>
          <w:p w14:paraId="27C169AA" w14:textId="77777777" w:rsidR="00C2238B" w:rsidRPr="00C2238B" w:rsidRDefault="00C2238B" w:rsidP="00C2238B">
            <w:pPr>
              <w:rPr>
                <w:rFonts w:cs="Arial"/>
              </w:rPr>
            </w:pPr>
          </w:p>
        </w:tc>
      </w:tr>
      <w:tr w:rsidR="00C2238B" w:rsidRPr="00C2238B" w14:paraId="1523C3E7" w14:textId="77777777" w:rsidTr="00A32893">
        <w:tc>
          <w:tcPr>
            <w:tcW w:w="4390" w:type="dxa"/>
          </w:tcPr>
          <w:p w14:paraId="7F46E852" w14:textId="77777777" w:rsidR="00C2238B" w:rsidRPr="00C2238B" w:rsidRDefault="00C2238B" w:rsidP="00C2238B">
            <w:pPr>
              <w:rPr>
                <w:rFonts w:cs="Arial"/>
              </w:rPr>
            </w:pPr>
            <w:r w:rsidRPr="00C2238B">
              <w:rPr>
                <w:rFonts w:cs="Arial"/>
              </w:rPr>
              <w:t>Total cost of IHR (supported by LPPA paperwork):</w:t>
            </w:r>
          </w:p>
        </w:tc>
        <w:tc>
          <w:tcPr>
            <w:tcW w:w="5804" w:type="dxa"/>
          </w:tcPr>
          <w:p w14:paraId="5E4B986F" w14:textId="77777777" w:rsidR="00C2238B" w:rsidRPr="00C2238B" w:rsidRDefault="00C2238B" w:rsidP="00C2238B">
            <w:pPr>
              <w:rPr>
                <w:rFonts w:cs="Arial"/>
              </w:rPr>
            </w:pPr>
          </w:p>
        </w:tc>
      </w:tr>
      <w:tr w:rsidR="00C2238B" w:rsidRPr="00C2238B" w14:paraId="24163491" w14:textId="77777777" w:rsidTr="00A32893">
        <w:tc>
          <w:tcPr>
            <w:tcW w:w="4390" w:type="dxa"/>
          </w:tcPr>
          <w:p w14:paraId="181F25C6" w14:textId="77777777" w:rsidR="00C2238B" w:rsidRPr="00C2238B" w:rsidRDefault="00C2238B" w:rsidP="00C2238B">
            <w:pPr>
              <w:rPr>
                <w:rFonts w:cs="Arial"/>
              </w:rPr>
            </w:pPr>
            <w:r w:rsidRPr="00C2238B">
              <w:rPr>
                <w:rFonts w:cs="Arial"/>
              </w:rPr>
              <w:t>Details of any additional costs (annual leave / notice pay etc):</w:t>
            </w:r>
          </w:p>
        </w:tc>
        <w:tc>
          <w:tcPr>
            <w:tcW w:w="5804" w:type="dxa"/>
          </w:tcPr>
          <w:p w14:paraId="7DF8E0E3" w14:textId="77777777" w:rsidR="00C2238B" w:rsidRPr="00C2238B" w:rsidRDefault="00C2238B" w:rsidP="00C2238B">
            <w:pPr>
              <w:rPr>
                <w:rFonts w:cs="Arial"/>
              </w:rPr>
            </w:pPr>
          </w:p>
          <w:p w14:paraId="4FD85B00" w14:textId="77777777" w:rsidR="00C2238B" w:rsidRPr="00C2238B" w:rsidRDefault="00C2238B" w:rsidP="00C2238B">
            <w:pPr>
              <w:rPr>
                <w:rFonts w:cs="Arial"/>
              </w:rPr>
            </w:pPr>
          </w:p>
          <w:p w14:paraId="3A27F6A0" w14:textId="77777777" w:rsidR="00C2238B" w:rsidRPr="00C2238B" w:rsidRDefault="00C2238B" w:rsidP="00C2238B">
            <w:pPr>
              <w:rPr>
                <w:rFonts w:cs="Arial"/>
              </w:rPr>
            </w:pPr>
          </w:p>
          <w:p w14:paraId="2A2D39FC" w14:textId="77777777" w:rsidR="00C2238B" w:rsidRPr="00C2238B" w:rsidRDefault="00C2238B" w:rsidP="00C2238B">
            <w:pPr>
              <w:rPr>
                <w:rFonts w:cs="Arial"/>
              </w:rPr>
            </w:pPr>
          </w:p>
        </w:tc>
      </w:tr>
      <w:tr w:rsidR="00C2238B" w:rsidRPr="00C2238B" w14:paraId="29781F6F" w14:textId="77777777" w:rsidTr="00A32893">
        <w:trPr>
          <w:trHeight w:val="998"/>
        </w:trPr>
        <w:tc>
          <w:tcPr>
            <w:tcW w:w="4390" w:type="dxa"/>
          </w:tcPr>
          <w:p w14:paraId="02EB651D" w14:textId="77777777" w:rsidR="00C2238B" w:rsidRPr="00C2238B" w:rsidRDefault="00C2238B" w:rsidP="00C2238B">
            <w:pPr>
              <w:rPr>
                <w:rFonts w:cs="Arial"/>
              </w:rPr>
            </w:pPr>
            <w:r w:rsidRPr="00C2238B">
              <w:rPr>
                <w:rFonts w:cs="Arial"/>
              </w:rPr>
              <w:t>Brief overview of events to date in terms of managing the absence:</w:t>
            </w:r>
          </w:p>
        </w:tc>
        <w:tc>
          <w:tcPr>
            <w:tcW w:w="5804" w:type="dxa"/>
          </w:tcPr>
          <w:p w14:paraId="1B92B31F" w14:textId="77777777" w:rsidR="00C2238B" w:rsidRPr="00C2238B" w:rsidRDefault="00C2238B" w:rsidP="00C2238B">
            <w:pPr>
              <w:rPr>
                <w:rFonts w:cs="Arial"/>
              </w:rPr>
            </w:pPr>
          </w:p>
          <w:p w14:paraId="65EE7ED5" w14:textId="77777777" w:rsidR="00C2238B" w:rsidRPr="00C2238B" w:rsidRDefault="00C2238B" w:rsidP="00C2238B">
            <w:pPr>
              <w:rPr>
                <w:rFonts w:cs="Arial"/>
              </w:rPr>
            </w:pPr>
          </w:p>
          <w:p w14:paraId="0984A8AB" w14:textId="77777777" w:rsidR="00C2238B" w:rsidRPr="00C2238B" w:rsidRDefault="00C2238B" w:rsidP="00C2238B">
            <w:pPr>
              <w:rPr>
                <w:rFonts w:cs="Arial"/>
              </w:rPr>
            </w:pPr>
          </w:p>
          <w:p w14:paraId="41476231" w14:textId="77777777" w:rsidR="00C2238B" w:rsidRPr="00C2238B" w:rsidRDefault="00C2238B" w:rsidP="00C2238B">
            <w:pPr>
              <w:rPr>
                <w:rFonts w:cs="Arial"/>
              </w:rPr>
            </w:pPr>
          </w:p>
          <w:p w14:paraId="6A8EC2DF" w14:textId="77777777" w:rsidR="00C2238B" w:rsidRPr="00C2238B" w:rsidRDefault="00C2238B" w:rsidP="00C2238B">
            <w:pPr>
              <w:rPr>
                <w:rFonts w:cs="Arial"/>
              </w:rPr>
            </w:pPr>
          </w:p>
          <w:p w14:paraId="01D6D363" w14:textId="77777777" w:rsidR="00C2238B" w:rsidRPr="00C2238B" w:rsidRDefault="00C2238B" w:rsidP="00C2238B">
            <w:pPr>
              <w:rPr>
                <w:rFonts w:cs="Arial"/>
              </w:rPr>
            </w:pPr>
          </w:p>
        </w:tc>
      </w:tr>
      <w:tr w:rsidR="00C2238B" w:rsidRPr="00C2238B" w14:paraId="0EDD32DA" w14:textId="77777777" w:rsidTr="00A32893">
        <w:trPr>
          <w:trHeight w:val="964"/>
        </w:trPr>
        <w:tc>
          <w:tcPr>
            <w:tcW w:w="4390" w:type="dxa"/>
          </w:tcPr>
          <w:p w14:paraId="005AAE16" w14:textId="77777777" w:rsidR="00C2238B" w:rsidRPr="00C2238B" w:rsidRDefault="00C2238B" w:rsidP="00C2238B">
            <w:pPr>
              <w:rPr>
                <w:rFonts w:cs="Arial"/>
              </w:rPr>
            </w:pPr>
            <w:r w:rsidRPr="00C2238B">
              <w:rPr>
                <w:rFonts w:cs="Arial"/>
              </w:rPr>
              <w:t>Details of any attempts of work reintegration / reasonable adjustments</w:t>
            </w:r>
          </w:p>
        </w:tc>
        <w:tc>
          <w:tcPr>
            <w:tcW w:w="5804" w:type="dxa"/>
          </w:tcPr>
          <w:p w14:paraId="31D5346C" w14:textId="77777777" w:rsidR="00C2238B" w:rsidRPr="00C2238B" w:rsidRDefault="00C2238B" w:rsidP="00C2238B">
            <w:pPr>
              <w:rPr>
                <w:rFonts w:cs="Arial"/>
              </w:rPr>
            </w:pPr>
          </w:p>
          <w:p w14:paraId="5B48D014" w14:textId="77777777" w:rsidR="00C2238B" w:rsidRPr="00C2238B" w:rsidRDefault="00C2238B" w:rsidP="00C2238B">
            <w:pPr>
              <w:rPr>
                <w:rFonts w:cs="Arial"/>
              </w:rPr>
            </w:pPr>
          </w:p>
          <w:p w14:paraId="13636403" w14:textId="77777777" w:rsidR="00C2238B" w:rsidRPr="00C2238B" w:rsidRDefault="00C2238B" w:rsidP="00C2238B">
            <w:pPr>
              <w:rPr>
                <w:rFonts w:cs="Arial"/>
              </w:rPr>
            </w:pPr>
          </w:p>
          <w:p w14:paraId="67008B46" w14:textId="77777777" w:rsidR="00C2238B" w:rsidRPr="00C2238B" w:rsidRDefault="00C2238B" w:rsidP="00C2238B">
            <w:pPr>
              <w:rPr>
                <w:rFonts w:cs="Arial"/>
              </w:rPr>
            </w:pPr>
          </w:p>
          <w:p w14:paraId="1AEBE183" w14:textId="77777777" w:rsidR="00C2238B" w:rsidRPr="00C2238B" w:rsidRDefault="00C2238B" w:rsidP="00C2238B">
            <w:pPr>
              <w:rPr>
                <w:rFonts w:cs="Arial"/>
              </w:rPr>
            </w:pPr>
          </w:p>
          <w:p w14:paraId="66371356" w14:textId="77777777" w:rsidR="00C2238B" w:rsidRPr="00C2238B" w:rsidRDefault="00C2238B" w:rsidP="00C2238B">
            <w:pPr>
              <w:rPr>
                <w:rFonts w:cs="Arial"/>
              </w:rPr>
            </w:pPr>
          </w:p>
          <w:p w14:paraId="69EDC5A6" w14:textId="77777777" w:rsidR="00C2238B" w:rsidRPr="00C2238B" w:rsidRDefault="00C2238B" w:rsidP="00C2238B">
            <w:pPr>
              <w:rPr>
                <w:rFonts w:cs="Arial"/>
              </w:rPr>
            </w:pPr>
          </w:p>
          <w:p w14:paraId="61C4515C" w14:textId="77777777" w:rsidR="00C2238B" w:rsidRPr="00C2238B" w:rsidRDefault="00C2238B" w:rsidP="00C2238B">
            <w:pPr>
              <w:rPr>
                <w:rFonts w:cs="Arial"/>
              </w:rPr>
            </w:pPr>
          </w:p>
          <w:p w14:paraId="43723161" w14:textId="77777777" w:rsidR="00C2238B" w:rsidRPr="00C2238B" w:rsidRDefault="00C2238B" w:rsidP="00C2238B">
            <w:pPr>
              <w:rPr>
                <w:rFonts w:cs="Arial"/>
              </w:rPr>
            </w:pPr>
          </w:p>
        </w:tc>
      </w:tr>
      <w:tr w:rsidR="00C2238B" w:rsidRPr="00C2238B" w14:paraId="7892637D" w14:textId="77777777" w:rsidTr="00A32893">
        <w:trPr>
          <w:trHeight w:val="454"/>
        </w:trPr>
        <w:tc>
          <w:tcPr>
            <w:tcW w:w="4390" w:type="dxa"/>
          </w:tcPr>
          <w:p w14:paraId="56F49C27" w14:textId="77777777" w:rsidR="00C2238B" w:rsidRPr="00C2238B" w:rsidRDefault="00C2238B" w:rsidP="00C2238B">
            <w:pPr>
              <w:rPr>
                <w:rFonts w:cs="Arial"/>
              </w:rPr>
            </w:pPr>
            <w:r w:rsidRPr="00C2238B">
              <w:rPr>
                <w:rFonts w:cs="Arial"/>
              </w:rPr>
              <w:t>Signed by: Assistant Director</w:t>
            </w:r>
          </w:p>
        </w:tc>
        <w:tc>
          <w:tcPr>
            <w:tcW w:w="5804" w:type="dxa"/>
          </w:tcPr>
          <w:p w14:paraId="01175E89" w14:textId="77777777" w:rsidR="00C2238B" w:rsidRPr="00C2238B" w:rsidRDefault="00C2238B" w:rsidP="00C2238B">
            <w:pPr>
              <w:rPr>
                <w:rFonts w:cs="Arial"/>
              </w:rPr>
            </w:pPr>
          </w:p>
        </w:tc>
      </w:tr>
      <w:tr w:rsidR="00C2238B" w:rsidRPr="00C2238B" w14:paraId="0C9B6C00" w14:textId="77777777" w:rsidTr="00A32893">
        <w:trPr>
          <w:trHeight w:val="454"/>
        </w:trPr>
        <w:tc>
          <w:tcPr>
            <w:tcW w:w="4390" w:type="dxa"/>
          </w:tcPr>
          <w:p w14:paraId="22FFBBAF" w14:textId="77777777" w:rsidR="00C2238B" w:rsidRPr="00C2238B" w:rsidRDefault="00C2238B" w:rsidP="00C2238B">
            <w:pPr>
              <w:rPr>
                <w:rFonts w:cs="Arial"/>
              </w:rPr>
            </w:pPr>
            <w:r w:rsidRPr="00C2238B">
              <w:rPr>
                <w:rFonts w:cs="Arial"/>
              </w:rPr>
              <w:t xml:space="preserve">Signed by: Finance Manager </w:t>
            </w:r>
          </w:p>
        </w:tc>
        <w:tc>
          <w:tcPr>
            <w:tcW w:w="5804" w:type="dxa"/>
          </w:tcPr>
          <w:p w14:paraId="47CFDE99" w14:textId="77777777" w:rsidR="00C2238B" w:rsidRPr="00C2238B" w:rsidRDefault="00C2238B" w:rsidP="00C2238B">
            <w:pPr>
              <w:rPr>
                <w:rFonts w:cs="Arial"/>
              </w:rPr>
            </w:pPr>
          </w:p>
        </w:tc>
      </w:tr>
      <w:tr w:rsidR="00C2238B" w:rsidRPr="00C2238B" w14:paraId="040CCADC" w14:textId="77777777" w:rsidTr="00A32893">
        <w:trPr>
          <w:trHeight w:val="454"/>
        </w:trPr>
        <w:tc>
          <w:tcPr>
            <w:tcW w:w="4390" w:type="dxa"/>
          </w:tcPr>
          <w:p w14:paraId="418AFC5D" w14:textId="77777777" w:rsidR="00C2238B" w:rsidRPr="00C2238B" w:rsidRDefault="00C2238B" w:rsidP="00C2238B">
            <w:pPr>
              <w:rPr>
                <w:rFonts w:cs="Arial"/>
              </w:rPr>
            </w:pPr>
            <w:r w:rsidRPr="00C2238B">
              <w:rPr>
                <w:rFonts w:cs="Arial"/>
              </w:rPr>
              <w:t xml:space="preserve">Signed By: People Manager - Business Partner </w:t>
            </w:r>
          </w:p>
        </w:tc>
        <w:tc>
          <w:tcPr>
            <w:tcW w:w="5804" w:type="dxa"/>
          </w:tcPr>
          <w:p w14:paraId="0C0056C0" w14:textId="77777777" w:rsidR="00C2238B" w:rsidRPr="00C2238B" w:rsidRDefault="00C2238B" w:rsidP="00C2238B">
            <w:pPr>
              <w:rPr>
                <w:rFonts w:cs="Arial"/>
              </w:rPr>
            </w:pPr>
          </w:p>
        </w:tc>
      </w:tr>
    </w:tbl>
    <w:p w14:paraId="0803C5BB" w14:textId="13C544CB" w:rsidR="00835F95" w:rsidRDefault="00835F95" w:rsidP="0064303C">
      <w:pPr>
        <w:spacing w:before="120" w:after="120" w:line="240" w:lineRule="auto"/>
        <w:jc w:val="both"/>
        <w:rPr>
          <w:rFonts w:cs="Arial"/>
          <w:bCs/>
          <w:color w:val="39393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5"/>
      <w:headerReference w:type="default" r:id="rId16"/>
      <w:footerReference w:type="even" r:id="rId17"/>
      <w:footerReference w:type="default" r:id="rId18"/>
      <w:headerReference w:type="first" r:id="rId19"/>
      <w:footerReference w:type="first" r:id="rId20"/>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F7A00" w14:textId="77777777" w:rsidR="00E86CEE" w:rsidRDefault="00E86CEE">
      <w:r>
        <w:separator/>
      </w:r>
    </w:p>
    <w:p w14:paraId="72F846A9" w14:textId="77777777" w:rsidR="00E86CEE" w:rsidRDefault="00E86CEE"/>
  </w:endnote>
  <w:endnote w:type="continuationSeparator" w:id="0">
    <w:p w14:paraId="71EDC889" w14:textId="77777777" w:rsidR="00E86CEE" w:rsidRDefault="00E86CEE">
      <w:r>
        <w:continuationSeparator/>
      </w:r>
    </w:p>
    <w:p w14:paraId="4A333764" w14:textId="77777777" w:rsidR="00E86CEE" w:rsidRDefault="00E86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p w14:paraId="1DC5EB98" w14:textId="77777777" w:rsidR="00FC1CF2" w:rsidRDefault="00FC1C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798478BB" w:rsidR="0064303C" w:rsidRPr="00922A40" w:rsidRDefault="00C2238B" w:rsidP="0064303C">
    <w:pPr>
      <w:rPr>
        <w:rFonts w:cs="Arial"/>
        <w:b/>
        <w:color w:val="2C2F2E"/>
        <w:sz w:val="19"/>
        <w:szCs w:val="19"/>
      </w:rPr>
    </w:pPr>
    <w:r>
      <w:rPr>
        <w:rFonts w:cs="Arial"/>
        <w:b/>
        <w:noProof/>
        <w:color w:val="999999"/>
        <w:sz w:val="19"/>
        <w:szCs w:val="19"/>
      </w:rPr>
      <w:drawing>
        <wp:anchor distT="0" distB="0" distL="114300" distR="114300" simplePos="0" relativeHeight="251659776" behindDoc="1" locked="0" layoutInCell="1" allowOverlap="1" wp14:anchorId="6A18A58D" wp14:editId="127B140E">
          <wp:simplePos x="0" y="0"/>
          <wp:positionH relativeFrom="page">
            <wp:align>left</wp:align>
          </wp:positionH>
          <wp:positionV relativeFrom="paragraph">
            <wp:posOffset>-756285</wp:posOffset>
          </wp:positionV>
          <wp:extent cx="7559675" cy="1549867"/>
          <wp:effectExtent l="0" t="0" r="3175" b="0"/>
          <wp:wrapNone/>
          <wp:docPr id="711778006" name="Picture 711778006"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867"/>
                  </a:xfrm>
                  <a:prstGeom prst="rect">
                    <a:avLst/>
                  </a:prstGeom>
                </pic:spPr>
              </pic:pic>
            </a:graphicData>
          </a:graphic>
          <wp14:sizeRelH relativeFrom="page">
            <wp14:pctWidth>0</wp14:pctWidth>
          </wp14:sizeRelH>
          <wp14:sizeRelV relativeFrom="page">
            <wp14:pctHeight>0</wp14:pctHeight>
          </wp14:sizeRelV>
        </wp:anchor>
      </w:drawing>
    </w:r>
    <w:r w:rsidR="00362EE5">
      <w:rPr>
        <w:noProof/>
      </w:rPr>
      <w:drawing>
        <wp:anchor distT="0" distB="0" distL="114300" distR="114300" simplePos="0" relativeHeight="25165875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t xml:space="preserve">     </w:t>
    </w:r>
    <w:r w:rsidR="0064303C">
      <w:rPr>
        <w:rFonts w:cs="Arial"/>
        <w:b/>
        <w:color w:val="2C2F2E"/>
        <w:sz w:val="19"/>
        <w:szCs w:val="19"/>
      </w:rPr>
      <w:t xml:space="preserve">                                                                                                                        </w:t>
    </w:r>
  </w:p>
  <w:p w14:paraId="047D987F" w14:textId="50A97396" w:rsidR="00282847" w:rsidRDefault="00282847"/>
  <w:p w14:paraId="4696E823" w14:textId="77777777" w:rsidR="00FC1CF2" w:rsidRDefault="00FC1C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835A" w14:textId="77777777" w:rsidR="00E86CEE" w:rsidRDefault="00E86CEE">
      <w:r>
        <w:separator/>
      </w:r>
    </w:p>
    <w:p w14:paraId="2B6CCC91" w14:textId="77777777" w:rsidR="00E86CEE" w:rsidRDefault="00E86CEE"/>
  </w:footnote>
  <w:footnote w:type="continuationSeparator" w:id="0">
    <w:p w14:paraId="36EA328D" w14:textId="77777777" w:rsidR="00E86CEE" w:rsidRDefault="00E86CEE">
      <w:r>
        <w:continuationSeparator/>
      </w:r>
    </w:p>
    <w:p w14:paraId="51A20E0F" w14:textId="77777777" w:rsidR="00E86CEE" w:rsidRDefault="00E86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78E7BAC9" w14:textId="77777777" w:rsidR="00FC1CF2" w:rsidRDefault="00FC1C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p w14:paraId="704F8CE7" w14:textId="77777777" w:rsidR="00FC1CF2" w:rsidRDefault="00FC1C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BCC7BCE"/>
    <w:multiLevelType w:val="hybridMultilevel"/>
    <w:tmpl w:val="D20A8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97373D"/>
    <w:multiLevelType w:val="hybridMultilevel"/>
    <w:tmpl w:val="B56C9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5"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6"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4244B1"/>
    <w:multiLevelType w:val="hybridMultilevel"/>
    <w:tmpl w:val="E02806F6"/>
    <w:lvl w:ilvl="0" w:tplc="0809000B">
      <w:start w:val="1"/>
      <w:numFmt w:val="bullet"/>
      <w:lvlText w:val=""/>
      <w:lvlJc w:val="left"/>
      <w:pPr>
        <w:ind w:left="1139" w:hanging="360"/>
      </w:pPr>
      <w:rPr>
        <w:rFonts w:ascii="Wingdings" w:hAnsi="Wingdings"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35"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3"/>
  </w:num>
  <w:num w:numId="2" w16cid:durableId="2067214319">
    <w:abstractNumId w:val="26"/>
  </w:num>
  <w:num w:numId="3" w16cid:durableId="1679310131">
    <w:abstractNumId w:val="19"/>
  </w:num>
  <w:num w:numId="4" w16cid:durableId="2082213094">
    <w:abstractNumId w:val="30"/>
  </w:num>
  <w:num w:numId="5" w16cid:durableId="1279528031">
    <w:abstractNumId w:val="25"/>
  </w:num>
  <w:num w:numId="6" w16cid:durableId="1948728523">
    <w:abstractNumId w:val="27"/>
  </w:num>
  <w:num w:numId="7" w16cid:durableId="1748765981">
    <w:abstractNumId w:val="9"/>
  </w:num>
  <w:num w:numId="8" w16cid:durableId="770470172">
    <w:abstractNumId w:val="22"/>
  </w:num>
  <w:num w:numId="9" w16cid:durableId="801507558">
    <w:abstractNumId w:val="33"/>
  </w:num>
  <w:num w:numId="10" w16cid:durableId="425855461">
    <w:abstractNumId w:val="6"/>
  </w:num>
  <w:num w:numId="11" w16cid:durableId="1868791141">
    <w:abstractNumId w:val="24"/>
  </w:num>
  <w:num w:numId="12" w16cid:durableId="1149713589">
    <w:abstractNumId w:val="20"/>
  </w:num>
  <w:num w:numId="13" w16cid:durableId="1825971133">
    <w:abstractNumId w:val="31"/>
  </w:num>
  <w:num w:numId="14" w16cid:durableId="501628944">
    <w:abstractNumId w:val="14"/>
  </w:num>
  <w:num w:numId="15" w16cid:durableId="742719538">
    <w:abstractNumId w:val="23"/>
  </w:num>
  <w:num w:numId="16" w16cid:durableId="1095250122">
    <w:abstractNumId w:val="8"/>
  </w:num>
  <w:num w:numId="17" w16cid:durableId="812720222">
    <w:abstractNumId w:val="35"/>
  </w:num>
  <w:num w:numId="18" w16cid:durableId="180556028">
    <w:abstractNumId w:val="21"/>
  </w:num>
  <w:num w:numId="19" w16cid:durableId="1160998515">
    <w:abstractNumId w:val="11"/>
  </w:num>
  <w:num w:numId="20" w16cid:durableId="1679581245">
    <w:abstractNumId w:val="12"/>
  </w:num>
  <w:num w:numId="21" w16cid:durableId="100075873">
    <w:abstractNumId w:val="17"/>
  </w:num>
  <w:num w:numId="22" w16cid:durableId="1531411270">
    <w:abstractNumId w:val="32"/>
  </w:num>
  <w:num w:numId="23" w16cid:durableId="1510289084">
    <w:abstractNumId w:val="4"/>
  </w:num>
  <w:num w:numId="24" w16cid:durableId="864752552">
    <w:abstractNumId w:val="2"/>
  </w:num>
  <w:num w:numId="25" w16cid:durableId="1965429499">
    <w:abstractNumId w:val="7"/>
  </w:num>
  <w:num w:numId="26" w16cid:durableId="1476288997">
    <w:abstractNumId w:val="5"/>
  </w:num>
  <w:num w:numId="27" w16cid:durableId="758795727">
    <w:abstractNumId w:val="29"/>
  </w:num>
  <w:num w:numId="28" w16cid:durableId="1819104245">
    <w:abstractNumId w:val="0"/>
  </w:num>
  <w:num w:numId="29" w16cid:durableId="1275988086">
    <w:abstractNumId w:val="36"/>
  </w:num>
  <w:num w:numId="30" w16cid:durableId="327287912">
    <w:abstractNumId w:val="13"/>
  </w:num>
  <w:num w:numId="31" w16cid:durableId="623586424">
    <w:abstractNumId w:val="1"/>
  </w:num>
  <w:num w:numId="32" w16cid:durableId="613251922">
    <w:abstractNumId w:val="28"/>
  </w:num>
  <w:num w:numId="33" w16cid:durableId="90248434">
    <w:abstractNumId w:val="10"/>
  </w:num>
  <w:num w:numId="34" w16cid:durableId="1233462615">
    <w:abstractNumId w:val="15"/>
  </w:num>
  <w:num w:numId="35" w16cid:durableId="696348740">
    <w:abstractNumId w:val="16"/>
  </w:num>
  <w:num w:numId="36" w16cid:durableId="1494030749">
    <w:abstractNumId w:val="18"/>
  </w:num>
  <w:num w:numId="37" w16cid:durableId="21079954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10DC"/>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B0C"/>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852D1"/>
    <w:rsid w:val="002949B5"/>
    <w:rsid w:val="00297394"/>
    <w:rsid w:val="002A3987"/>
    <w:rsid w:val="002A5203"/>
    <w:rsid w:val="002A52EB"/>
    <w:rsid w:val="002B4ED4"/>
    <w:rsid w:val="002B50B8"/>
    <w:rsid w:val="002D1E19"/>
    <w:rsid w:val="002D2913"/>
    <w:rsid w:val="002D5D8F"/>
    <w:rsid w:val="002E00D6"/>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2DA2"/>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5B1A"/>
    <w:rsid w:val="00506957"/>
    <w:rsid w:val="00515D3D"/>
    <w:rsid w:val="00523C36"/>
    <w:rsid w:val="005267F4"/>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5F"/>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36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35D6"/>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38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0E53"/>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86CEE"/>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93A"/>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1CF2"/>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table" w:styleId="TableGrid">
    <w:name w:val="Table Grid"/>
    <w:basedOn w:val="TableNormal"/>
    <w:rsid w:val="00C22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ppapensions.co.uk/contac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ntranet.ccc/eLibrary/view.asp?ID=6292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ouch.ccc/elibrary/Content/Intranet/536/671/5053/6001/41410105256.doc"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touch.ccc/eLibrary/view.asp?ID=58994"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SharedWithUsers xmlns="d825955d-c47e-4fd7-8874-018c5c37d6f9">
      <UserInfo>
        <DisplayName>Hodgson, Caroline J</DisplayName>
        <AccountId>22</AccountId>
        <AccountType/>
      </UserInfo>
      <UserInfo>
        <DisplayName>Holton, Sarah</DisplayName>
        <AccountId>63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9" ma:contentTypeDescription="Create a new document." ma:contentTypeScope="" ma:versionID="7bbfbd43ea94956c1a7aee4903264827">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2c9958cd79085cede58fc1b2d348d7c7"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2.xml><?xml version="1.0" encoding="utf-8"?>
<ds:datastoreItem xmlns:ds="http://schemas.openxmlformats.org/officeDocument/2006/customXml" ds:itemID="{05058A8E-C506-4E2E-93B3-8BACA3352CB5}">
  <ds:schemaRefs>
    <ds:schemaRef ds:uri="http://purl.org/dc/terms/"/>
    <ds:schemaRef ds:uri="c2b36edf-d6b4-4d40-9417-44b51de556ab"/>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d825955d-c47e-4fd7-8874-018c5c37d6f9"/>
    <ds:schemaRef ds:uri="a1a3e32b-2f61-4ed2-8005-4759f7176664"/>
    <ds:schemaRef ds:uri="http://www.w3.org/XML/1998/namespace"/>
    <ds:schemaRef ds:uri="http://purl.org/dc/dcmitype/"/>
  </ds:schemaRefs>
</ds:datastoreItem>
</file>

<file path=customXml/itemProps3.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4.xml><?xml version="1.0" encoding="utf-8"?>
<ds:datastoreItem xmlns:ds="http://schemas.openxmlformats.org/officeDocument/2006/customXml" ds:itemID="{D6AE1396-B8AC-41C7-BDCE-9E1997DAF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9948</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Taggart, Melissa</cp:lastModifiedBy>
  <cp:revision>3</cp:revision>
  <cp:lastPrinted>2017-10-10T09:12:00Z</cp:lastPrinted>
  <dcterms:created xsi:type="dcterms:W3CDTF">2024-10-11T13:05:00Z</dcterms:created>
  <dcterms:modified xsi:type="dcterms:W3CDTF">2024-10-11T13:48:00Z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