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71F5" w14:textId="77777777" w:rsidR="00B606C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  <w:r w:rsidR="00B606C7"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919466" w14:textId="5C24AB2B" w:rsidR="00D176B7" w:rsidRDefault="00B606C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7595</w:t>
                            </w:r>
                          </w:p>
                          <w:p w14:paraId="7DF6F234" w14:textId="6E4B8BC3" w:rsidR="00001733" w:rsidRPr="001A1D96" w:rsidRDefault="00001733" w:rsidP="00C1418A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05C771F5" w14:textId="77777777" w:rsidR="00B606C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  <w:r w:rsidR="00B606C7"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919466" w14:textId="5C24AB2B" w:rsidR="00D176B7" w:rsidRDefault="00B606C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7595</w:t>
                      </w:r>
                    </w:p>
                    <w:p w14:paraId="7DF6F234" w14:textId="6E4B8BC3" w:rsidR="00001733" w:rsidRPr="001A1D96" w:rsidRDefault="00001733" w:rsidP="00C1418A">
                      <w:pP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6EB0AF9" w:rsidR="00EF1F17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14:paraId="5210A51C" w14:textId="3D561D02" w:rsidR="00634305" w:rsidRPr="00286194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6EB0AF9" w:rsidR="00EF1F17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</w:t>
                      </w:r>
                    </w:p>
                    <w:p w14:paraId="5210A51C" w14:textId="3D561D02" w:rsidR="00634305" w:rsidRPr="00286194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62CEC36E" w:rsidR="00722D24" w:rsidRPr="001D5465" w:rsidRDefault="00401B30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April </w:t>
            </w:r>
            <w:r w:rsidR="00634305">
              <w:rPr>
                <w:rFonts w:ascii="Arial" w:hAnsi="Arial" w:cs="Arial"/>
                <w:b/>
              </w:rPr>
              <w:t>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312C309F" w:rsidR="00722D24" w:rsidRPr="001D5465" w:rsidRDefault="00401B30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Performance Officer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71E7AA5A" w:rsidR="00722D24" w:rsidRPr="001D5465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</w:t>
            </w:r>
            <w:r w:rsidR="00401B3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74912B40" w:rsidR="00722D24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1</w:t>
            </w:r>
            <w:r w:rsidR="00401B30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48FABC85">
        <w:tc>
          <w:tcPr>
            <w:tcW w:w="10632" w:type="dxa"/>
            <w:gridSpan w:val="3"/>
            <w:shd w:val="clear" w:color="auto" w:fill="auto"/>
          </w:tcPr>
          <w:p w14:paraId="3F460BEC" w14:textId="15D98566" w:rsidR="001F7EDB" w:rsidRDefault="00401B30" w:rsidP="00276E8D">
            <w:pPr>
              <w:rPr>
                <w:rFonts w:ascii="Arial" w:hAnsi="Arial" w:cs="Arial"/>
                <w:b/>
                <w:color w:val="0082AA"/>
              </w:rPr>
            </w:pPr>
            <w:r w:rsidRPr="00756B77">
              <w:rPr>
                <w:rFonts w:ascii="Arial" w:eastAsia="Calibri" w:hAnsi="Arial" w:cs="Arial"/>
                <w:lang w:eastAsia="en-US"/>
              </w:rPr>
              <w:t xml:space="preserve">To provide advice and support to Senior and Service Managers on the implementation of the </w:t>
            </w:r>
            <w:r>
              <w:rPr>
                <w:rFonts w:ascii="Arial" w:eastAsia="Calibri" w:hAnsi="Arial" w:cs="Arial"/>
                <w:lang w:eastAsia="en-US"/>
              </w:rPr>
              <w:t>Service’s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 Performance and Risk Management Framework, ensuring that good quality, relevant and timely information is used by Officers and </w:t>
            </w:r>
            <w:r>
              <w:rPr>
                <w:rFonts w:ascii="Arial" w:eastAsia="Calibri" w:hAnsi="Arial" w:cs="Arial"/>
                <w:lang w:eastAsia="en-US"/>
              </w:rPr>
              <w:t>Cumbria Commissioner Fire and Rescue Authority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 to inform effective decision making.</w:t>
            </w:r>
          </w:p>
          <w:p w14:paraId="38F1DB45" w14:textId="0E3FC3C5" w:rsidR="001F7EDB" w:rsidRPr="00722D24" w:rsidRDefault="001F7EDB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48FABC85">
        <w:tc>
          <w:tcPr>
            <w:tcW w:w="10632" w:type="dxa"/>
            <w:gridSpan w:val="3"/>
            <w:shd w:val="clear" w:color="auto" w:fill="auto"/>
          </w:tcPr>
          <w:p w14:paraId="71757EA8" w14:textId="5E1C449C" w:rsidR="00401B30" w:rsidRDefault="00401B30" w:rsidP="00401B30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lang w:eastAsia="en-US"/>
              </w:rPr>
            </w:pPr>
            <w:r w:rsidRPr="00756B77">
              <w:rPr>
                <w:rFonts w:ascii="Arial" w:eastAsia="Calibri" w:hAnsi="Arial" w:cs="Arial"/>
                <w:lang w:eastAsia="en-US"/>
              </w:rPr>
              <w:t xml:space="preserve">To lead on the regular reporting and monitoring of the </w:t>
            </w:r>
            <w:r>
              <w:rPr>
                <w:rFonts w:ascii="Arial" w:eastAsia="Calibri" w:hAnsi="Arial" w:cs="Arial"/>
                <w:lang w:eastAsia="en-US"/>
              </w:rPr>
              <w:t>Service’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s performance, including statutory data submissions, ensuring that all stakeholders have access to up to date, good quality performance, risk, </w:t>
            </w:r>
            <w:proofErr w:type="gramStart"/>
            <w:r w:rsidRPr="00756B77">
              <w:rPr>
                <w:rFonts w:ascii="Arial" w:eastAsia="Calibri" w:hAnsi="Arial" w:cs="Arial"/>
                <w:lang w:eastAsia="en-US"/>
              </w:rPr>
              <w:t>programmes</w:t>
            </w:r>
            <w:proofErr w:type="gramEnd"/>
            <w:r w:rsidRPr="00756B77">
              <w:rPr>
                <w:rFonts w:ascii="Arial" w:eastAsia="Calibri" w:hAnsi="Arial" w:cs="Arial"/>
                <w:lang w:eastAsia="en-US"/>
              </w:rPr>
              <w:t xml:space="preserve"> and project management information.</w:t>
            </w:r>
          </w:p>
          <w:p w14:paraId="7D80FEA8" w14:textId="77777777" w:rsidR="00401B30" w:rsidRPr="00756B77" w:rsidRDefault="00401B30" w:rsidP="00401B30">
            <w:pPr>
              <w:pStyle w:val="ListParagraph"/>
              <w:rPr>
                <w:rFonts w:ascii="Arial" w:eastAsia="Calibri" w:hAnsi="Arial" w:cs="Arial"/>
                <w:lang w:eastAsia="en-US"/>
              </w:rPr>
            </w:pPr>
          </w:p>
          <w:p w14:paraId="4388E5BF" w14:textId="5892FC11" w:rsidR="00401B30" w:rsidRDefault="00401B30" w:rsidP="00401B30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lang w:eastAsia="en-US"/>
              </w:rPr>
            </w:pPr>
            <w:r w:rsidRPr="00756B77">
              <w:rPr>
                <w:rFonts w:ascii="Arial" w:eastAsia="Calibri" w:hAnsi="Arial" w:cs="Arial"/>
                <w:lang w:eastAsia="en-US"/>
              </w:rPr>
              <w:t xml:space="preserve">To work with </w:t>
            </w:r>
            <w:r>
              <w:rPr>
                <w:rFonts w:ascii="Arial" w:eastAsia="Calibri" w:hAnsi="Arial" w:cs="Arial"/>
                <w:lang w:eastAsia="en-US"/>
              </w:rPr>
              <w:t>senior leadership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, service managers, and </w:t>
            </w:r>
            <w:r>
              <w:rPr>
                <w:rFonts w:ascii="Arial" w:eastAsia="Calibri" w:hAnsi="Arial" w:cs="Arial"/>
                <w:lang w:eastAsia="en-US"/>
              </w:rPr>
              <w:t>key stakeholders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 to understand the </w:t>
            </w:r>
            <w:r>
              <w:rPr>
                <w:rFonts w:ascii="Arial" w:eastAsia="Calibri" w:hAnsi="Arial" w:cs="Arial"/>
                <w:lang w:eastAsia="en-US"/>
              </w:rPr>
              <w:t>Service’s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 business, and to support the identification of performance measures, risks and other activity that will contribute to the successful delivery of </w:t>
            </w:r>
            <w:r>
              <w:rPr>
                <w:rFonts w:ascii="Arial" w:eastAsia="Calibri" w:hAnsi="Arial" w:cs="Arial"/>
                <w:lang w:eastAsia="en-US"/>
              </w:rPr>
              <w:t>Fire and Rescue Authority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gramStart"/>
            <w:r w:rsidRPr="00756B77">
              <w:rPr>
                <w:rFonts w:ascii="Arial" w:eastAsia="Calibri" w:hAnsi="Arial" w:cs="Arial"/>
                <w:lang w:eastAsia="en-US"/>
              </w:rPr>
              <w:t>Service</w:t>
            </w:r>
            <w:proofErr w:type="gramEnd"/>
            <w:r w:rsidRPr="00756B77">
              <w:rPr>
                <w:rFonts w:ascii="Arial" w:eastAsia="Calibri" w:hAnsi="Arial" w:cs="Arial"/>
                <w:lang w:eastAsia="en-US"/>
              </w:rPr>
              <w:t xml:space="preserve"> and statutory priorities. </w:t>
            </w:r>
          </w:p>
          <w:p w14:paraId="19DD0294" w14:textId="77777777" w:rsidR="00401B30" w:rsidRPr="00756B77" w:rsidRDefault="00401B30" w:rsidP="00401B30">
            <w:pPr>
              <w:pStyle w:val="ListParagraph"/>
              <w:rPr>
                <w:rFonts w:ascii="Arial" w:eastAsia="Calibri" w:hAnsi="Arial" w:cs="Arial"/>
                <w:lang w:eastAsia="en-US"/>
              </w:rPr>
            </w:pPr>
          </w:p>
          <w:p w14:paraId="75E2ADD2" w14:textId="4E6A319E" w:rsidR="00401B30" w:rsidRDefault="00401B30" w:rsidP="00401B30">
            <w:pPr>
              <w:pStyle w:val="ListParagraph"/>
              <w:numPr>
                <w:ilvl w:val="0"/>
                <w:numId w:val="30"/>
              </w:numPr>
              <w:rPr>
                <w:rFonts w:ascii="Arial" w:eastAsia="Calibri" w:hAnsi="Arial" w:cs="Arial"/>
                <w:lang w:eastAsia="en-US"/>
              </w:rPr>
            </w:pPr>
            <w:r w:rsidRPr="00756B77">
              <w:rPr>
                <w:rFonts w:ascii="Arial" w:eastAsia="Calibri" w:hAnsi="Arial" w:cs="Arial"/>
                <w:lang w:eastAsia="en-US"/>
              </w:rPr>
              <w:t xml:space="preserve">To work with </w:t>
            </w:r>
            <w:r>
              <w:rPr>
                <w:rFonts w:ascii="Arial" w:eastAsia="Calibri" w:hAnsi="Arial" w:cs="Arial"/>
                <w:lang w:eastAsia="en-US"/>
              </w:rPr>
              <w:t>senior leadership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, service managers, and </w:t>
            </w:r>
            <w:r>
              <w:rPr>
                <w:rFonts w:ascii="Arial" w:eastAsia="Calibri" w:hAnsi="Arial" w:cs="Arial"/>
                <w:lang w:eastAsia="en-US"/>
              </w:rPr>
              <w:t xml:space="preserve">key stakeholders 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to understand the </w:t>
            </w:r>
            <w:r>
              <w:rPr>
                <w:rFonts w:ascii="Arial" w:eastAsia="Calibri" w:hAnsi="Arial" w:cs="Arial"/>
                <w:lang w:eastAsia="en-US"/>
              </w:rPr>
              <w:t>Service’s</w:t>
            </w:r>
            <w:r w:rsidRPr="00756B77">
              <w:rPr>
                <w:rFonts w:ascii="Arial" w:eastAsia="Calibri" w:hAnsi="Arial" w:cs="Arial"/>
                <w:lang w:eastAsia="en-US"/>
              </w:rPr>
              <w:t xml:space="preserve"> business, to diagnose performance, and to identify and support the implementation of solutions and actions to improve performance.</w:t>
            </w:r>
          </w:p>
          <w:p w14:paraId="5AFE51D7" w14:textId="77777777" w:rsidR="00401B30" w:rsidRPr="00756B77" w:rsidRDefault="00401B30" w:rsidP="00401B30">
            <w:pPr>
              <w:pStyle w:val="ListParagraph"/>
              <w:rPr>
                <w:rFonts w:ascii="Arial" w:eastAsia="Calibri" w:hAnsi="Arial" w:cs="Arial"/>
                <w:lang w:eastAsia="en-US"/>
              </w:rPr>
            </w:pPr>
          </w:p>
          <w:p w14:paraId="20F37DB6" w14:textId="7DC8DF93" w:rsidR="001F7EDB" w:rsidRPr="00D51049" w:rsidRDefault="00401B30" w:rsidP="00401B30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56B77">
              <w:rPr>
                <w:rFonts w:ascii="Arial" w:eastAsia="Calibri" w:hAnsi="Arial" w:cs="Arial"/>
                <w:lang w:eastAsia="en-US"/>
              </w:rPr>
              <w:t xml:space="preserve">To lead on the development, maintenance and presentation of good quality, relevant, and timely performance/risk/project management information </w:t>
            </w:r>
            <w:proofErr w:type="gramStart"/>
            <w:r w:rsidRPr="00756B77">
              <w:rPr>
                <w:rFonts w:ascii="Arial" w:eastAsia="Calibri" w:hAnsi="Arial" w:cs="Arial"/>
                <w:lang w:eastAsia="en-US"/>
              </w:rPr>
              <w:t>reports</w:t>
            </w:r>
            <w:proofErr w:type="gramEnd"/>
            <w:r w:rsidRPr="00756B77">
              <w:rPr>
                <w:rFonts w:ascii="Arial" w:eastAsia="Calibri" w:hAnsi="Arial" w:cs="Arial"/>
                <w:lang w:eastAsia="en-US"/>
              </w:rPr>
              <w:t xml:space="preserve"> and work with senior and service managers to use the content of reports to identify and implement opportunities for improvement.</w:t>
            </w:r>
          </w:p>
          <w:p w14:paraId="17451075" w14:textId="77777777" w:rsidR="00D51049" w:rsidRDefault="00D51049" w:rsidP="00D51049">
            <w:pPr>
              <w:pStyle w:val="ListParagraph"/>
              <w:rPr>
                <w:rFonts w:ascii="Arial" w:hAnsi="Arial" w:cs="Arial"/>
              </w:rPr>
            </w:pPr>
          </w:p>
          <w:p w14:paraId="28409C96" w14:textId="51C3DC4A" w:rsidR="00D51049" w:rsidRDefault="00D51049" w:rsidP="00D51049">
            <w:pPr>
              <w:rPr>
                <w:rFonts w:ascii="Arial" w:hAnsi="Arial" w:cs="Arial"/>
              </w:rPr>
            </w:pPr>
          </w:p>
          <w:p w14:paraId="61E6ECC1" w14:textId="77777777" w:rsidR="00D51049" w:rsidRPr="00401B30" w:rsidRDefault="00D51049" w:rsidP="00D51049">
            <w:pPr>
              <w:rPr>
                <w:rFonts w:ascii="Arial" w:hAnsi="Arial" w:cs="Arial"/>
              </w:rPr>
            </w:pPr>
          </w:p>
          <w:p w14:paraId="028300B6" w14:textId="5CF793F1" w:rsidR="00401B30" w:rsidRPr="00634305" w:rsidRDefault="00401B30" w:rsidP="00401B30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48FABC85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Key facts and figures of the post</w:t>
            </w:r>
          </w:p>
        </w:tc>
      </w:tr>
      <w:tr w:rsidR="003A6F8E" w:rsidRPr="001D5465" w14:paraId="6EF3A502" w14:textId="77777777" w:rsidTr="48FABC85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46B3D992" w:rsidR="003A6F8E" w:rsidRPr="00001733" w:rsidRDefault="00D51049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56B77">
              <w:rPr>
                <w:rFonts w:ascii="Arial" w:hAnsi="Arial" w:cs="Arial"/>
              </w:rPr>
              <w:t>Co-ordination of resources to deliver agreed work programmes and projects</w:t>
            </w:r>
          </w:p>
        </w:tc>
      </w:tr>
      <w:tr w:rsidR="003A6F8E" w:rsidRPr="001D5465" w14:paraId="2F283A1E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83C5BC" w14:textId="77777777" w:rsidR="00D51049" w:rsidRPr="00756B77" w:rsidRDefault="00D51049" w:rsidP="00D5104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>No direct line management responsibilities.</w:t>
            </w:r>
          </w:p>
          <w:p w14:paraId="7CC1BACD" w14:textId="0945AB5F" w:rsidR="003A6F8E" w:rsidRPr="001D5465" w:rsidRDefault="00D51049" w:rsidP="00D5104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56B77">
              <w:rPr>
                <w:rFonts w:ascii="Arial" w:hAnsi="Arial" w:cs="Arial"/>
              </w:rPr>
              <w:t>Responsible for leading a team of peers and/or multi-functional teams on specific projects.</w:t>
            </w:r>
          </w:p>
        </w:tc>
      </w:tr>
      <w:tr w:rsidR="003A6F8E" w:rsidRPr="001D5465" w14:paraId="68906FF2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1C21589E" w:rsidR="003A6F8E" w:rsidRPr="00634305" w:rsidRDefault="00634305" w:rsidP="006343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Qualifications, knowledge, </w:t>
            </w:r>
            <w:proofErr w:type="gramStart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experience</w:t>
            </w:r>
            <w:proofErr w:type="gramEnd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and expertise</w:t>
            </w:r>
          </w:p>
        </w:tc>
      </w:tr>
      <w:tr w:rsidR="003A6F8E" w:rsidRPr="00001733" w14:paraId="14B70878" w14:textId="77777777" w:rsidTr="48FABC85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C99C3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 xml:space="preserve">Technical, </w:t>
            </w:r>
            <w:proofErr w:type="gramStart"/>
            <w:r w:rsidRPr="00756B77">
              <w:rPr>
                <w:rFonts w:ascii="Arial" w:hAnsi="Arial" w:cs="Arial"/>
              </w:rPr>
              <w:t>vocational</w:t>
            </w:r>
            <w:proofErr w:type="gramEnd"/>
            <w:r w:rsidRPr="00756B77">
              <w:rPr>
                <w:rFonts w:ascii="Arial" w:hAnsi="Arial" w:cs="Arial"/>
              </w:rPr>
              <w:t xml:space="preserve"> or part-professional qualification at vocational degree level or equivalent experience (NVQ 4).</w:t>
            </w:r>
          </w:p>
          <w:p w14:paraId="6E53BC6E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>Good level of experience of interpreting and using performance and risk management information to influence senior managers in a local authority and partnership context.</w:t>
            </w:r>
          </w:p>
          <w:p w14:paraId="1D70CC10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 xml:space="preserve">Established people management and interpersonal skills and ability to influence. </w:t>
            </w:r>
          </w:p>
          <w:p w14:paraId="0B513E48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>Substantial experience of sourcing and interpreting large volumes of data and collating data into high quality management information.</w:t>
            </w:r>
          </w:p>
          <w:p w14:paraId="46CF1A09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>Good written and verbal presentation skills.</w:t>
            </w:r>
          </w:p>
          <w:p w14:paraId="1226A8DC" w14:textId="77777777" w:rsidR="00D51049" w:rsidRPr="00756B77" w:rsidRDefault="00D51049" w:rsidP="00D5104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756B77">
              <w:rPr>
                <w:rFonts w:ascii="Arial" w:hAnsi="Arial" w:cs="Arial"/>
              </w:rPr>
              <w:t xml:space="preserve">Politically astute in a rapidly changing environment. </w:t>
            </w:r>
          </w:p>
          <w:p w14:paraId="7028AE60" w14:textId="77777777" w:rsidR="00D51049" w:rsidRPr="007D5797" w:rsidRDefault="00D51049" w:rsidP="00D5104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56B77">
              <w:rPr>
                <w:rFonts w:ascii="Arial" w:hAnsi="Arial" w:cs="Arial"/>
              </w:rPr>
              <w:t xml:space="preserve">Able to operate standard office equipment and ICT </w:t>
            </w:r>
            <w:proofErr w:type="gramStart"/>
            <w:r w:rsidRPr="00756B77">
              <w:rPr>
                <w:rFonts w:ascii="Arial" w:hAnsi="Arial" w:cs="Arial"/>
              </w:rPr>
              <w:t>skills</w:t>
            </w:r>
            <w:proofErr w:type="gramEnd"/>
          </w:p>
          <w:p w14:paraId="63B68A64" w14:textId="03B837CB" w:rsidR="00D51049" w:rsidRPr="00D51049" w:rsidRDefault="00D51049" w:rsidP="00D5104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51049">
              <w:rPr>
                <w:rFonts w:ascii="Arial" w:hAnsi="Arial" w:cs="Arial"/>
              </w:rPr>
              <w:t xml:space="preserve">Must be familiar with Mapping software and Business Analytical </w:t>
            </w:r>
            <w:proofErr w:type="gramStart"/>
            <w:r w:rsidRPr="00D51049">
              <w:rPr>
                <w:rFonts w:ascii="Arial" w:hAnsi="Arial" w:cs="Arial"/>
              </w:rPr>
              <w:t>tools</w:t>
            </w:r>
            <w:proofErr w:type="gramEnd"/>
          </w:p>
          <w:p w14:paraId="35BC5288" w14:textId="5D21955D" w:rsidR="001F7EDB" w:rsidRPr="00722D24" w:rsidRDefault="001F7EDB" w:rsidP="00D5104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9D" w:rsidRPr="00001733" w14:paraId="633BF7A3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48FABC85">
        <w:tc>
          <w:tcPr>
            <w:tcW w:w="10632" w:type="dxa"/>
            <w:gridSpan w:val="3"/>
            <w:shd w:val="clear" w:color="auto" w:fill="auto"/>
          </w:tcPr>
          <w:p w14:paraId="0E98068E" w14:textId="64B121AF" w:rsidR="005C799D" w:rsidRPr="00722D24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</w:t>
            </w:r>
            <w:r w:rsidR="00B606C7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equire</w:t>
            </w:r>
            <w:r w:rsidR="00B606C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606C7">
              <w:rPr>
                <w:rFonts w:ascii="Arial" w:hAnsi="Arial" w:cs="Arial"/>
                <w:sz w:val="22"/>
                <w:szCs w:val="22"/>
              </w:rPr>
              <w:t xml:space="preserve">Standard </w:t>
            </w:r>
            <w:r>
              <w:rPr>
                <w:rFonts w:ascii="Arial" w:hAnsi="Arial" w:cs="Arial"/>
                <w:sz w:val="22"/>
                <w:szCs w:val="22"/>
              </w:rPr>
              <w:t>DBS check</w:t>
            </w:r>
          </w:p>
        </w:tc>
      </w:tr>
      <w:tr w:rsidR="003A6F8E" w:rsidRPr="001D5465" w14:paraId="002D021E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4F1C0C85" w:rsidR="003A6F8E" w:rsidRPr="00001733" w:rsidRDefault="00D51049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</w:tr>
      <w:tr w:rsidR="003A6F8E" w:rsidRPr="001D5465" w14:paraId="2A7E7920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99D0882" w:rsidR="003A6F8E" w:rsidRPr="001D5465" w:rsidRDefault="00D51049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3A6F8E" w:rsidRPr="001D5465" w14:paraId="2DB5E29B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437B2ECC" w:rsidR="003A6F8E" w:rsidRPr="001D5465" w:rsidRDefault="00D51049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3A6F8E" w:rsidRPr="001D5465" w14:paraId="1AD424B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48FABC85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5508D96B" w:rsidR="00236201" w:rsidRPr="00722D24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3DCD" w14:textId="77777777" w:rsidR="00DB37C2" w:rsidRDefault="00DB37C2">
      <w:r>
        <w:separator/>
      </w:r>
    </w:p>
  </w:endnote>
  <w:endnote w:type="continuationSeparator" w:id="0">
    <w:p w14:paraId="4E178DF9" w14:textId="77777777" w:rsidR="00DB37C2" w:rsidRDefault="00DB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8465" w14:textId="77777777" w:rsidR="00DB37C2" w:rsidRDefault="00DB37C2">
      <w:r>
        <w:separator/>
      </w:r>
    </w:p>
  </w:footnote>
  <w:footnote w:type="continuationSeparator" w:id="0">
    <w:p w14:paraId="7A4EC376" w14:textId="77777777" w:rsidR="00DB37C2" w:rsidRDefault="00DB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6F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10061"/>
    <w:multiLevelType w:val="hybridMultilevel"/>
    <w:tmpl w:val="4AA65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6CF"/>
    <w:multiLevelType w:val="hybridMultilevel"/>
    <w:tmpl w:val="D94CD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595415">
    <w:abstractNumId w:val="25"/>
  </w:num>
  <w:num w:numId="2" w16cid:durableId="1204557603">
    <w:abstractNumId w:val="2"/>
  </w:num>
  <w:num w:numId="3" w16cid:durableId="183830538">
    <w:abstractNumId w:val="30"/>
  </w:num>
  <w:num w:numId="4" w16cid:durableId="2055687490">
    <w:abstractNumId w:val="11"/>
  </w:num>
  <w:num w:numId="5" w16cid:durableId="1693920188">
    <w:abstractNumId w:val="12"/>
  </w:num>
  <w:num w:numId="6" w16cid:durableId="2121870093">
    <w:abstractNumId w:val="3"/>
  </w:num>
  <w:num w:numId="7" w16cid:durableId="740375093">
    <w:abstractNumId w:val="6"/>
  </w:num>
  <w:num w:numId="8" w16cid:durableId="1222332482">
    <w:abstractNumId w:val="18"/>
  </w:num>
  <w:num w:numId="9" w16cid:durableId="509565595">
    <w:abstractNumId w:val="22"/>
  </w:num>
  <w:num w:numId="10" w16cid:durableId="317927942">
    <w:abstractNumId w:val="10"/>
  </w:num>
  <w:num w:numId="11" w16cid:durableId="558517727">
    <w:abstractNumId w:val="28"/>
  </w:num>
  <w:num w:numId="12" w16cid:durableId="1932422235">
    <w:abstractNumId w:val="14"/>
  </w:num>
  <w:num w:numId="13" w16cid:durableId="1249391774">
    <w:abstractNumId w:val="8"/>
  </w:num>
  <w:num w:numId="14" w16cid:durableId="14383805">
    <w:abstractNumId w:val="9"/>
  </w:num>
  <w:num w:numId="15" w16cid:durableId="1322852174">
    <w:abstractNumId w:val="26"/>
  </w:num>
  <w:num w:numId="16" w16cid:durableId="1858154238">
    <w:abstractNumId w:val="27"/>
  </w:num>
  <w:num w:numId="17" w16cid:durableId="2006393310">
    <w:abstractNumId w:val="7"/>
  </w:num>
  <w:num w:numId="18" w16cid:durableId="831410257">
    <w:abstractNumId w:val="24"/>
  </w:num>
  <w:num w:numId="19" w16cid:durableId="1969043506">
    <w:abstractNumId w:val="1"/>
  </w:num>
  <w:num w:numId="20" w16cid:durableId="2045400198">
    <w:abstractNumId w:val="17"/>
  </w:num>
  <w:num w:numId="21" w16cid:durableId="1289432054">
    <w:abstractNumId w:val="13"/>
  </w:num>
  <w:num w:numId="22" w16cid:durableId="534734728">
    <w:abstractNumId w:val="29"/>
  </w:num>
  <w:num w:numId="23" w16cid:durableId="850147047">
    <w:abstractNumId w:val="19"/>
  </w:num>
  <w:num w:numId="24" w16cid:durableId="1839612511">
    <w:abstractNumId w:val="4"/>
  </w:num>
  <w:num w:numId="25" w16cid:durableId="1499421724">
    <w:abstractNumId w:val="5"/>
  </w:num>
  <w:num w:numId="26" w16cid:durableId="450250434">
    <w:abstractNumId w:val="11"/>
  </w:num>
  <w:num w:numId="27" w16cid:durableId="2017222980">
    <w:abstractNumId w:val="21"/>
  </w:num>
  <w:num w:numId="28" w16cid:durableId="1131675776">
    <w:abstractNumId w:val="16"/>
  </w:num>
  <w:num w:numId="29" w16cid:durableId="1640957601">
    <w:abstractNumId w:val="0"/>
  </w:num>
  <w:num w:numId="30" w16cid:durableId="1261185719">
    <w:abstractNumId w:val="15"/>
  </w:num>
  <w:num w:numId="31" w16cid:durableId="436025524">
    <w:abstractNumId w:val="23"/>
  </w:num>
  <w:num w:numId="32" w16cid:durableId="90611373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E2046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877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1B30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430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381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06C7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418A"/>
    <w:rsid w:val="00C16C71"/>
    <w:rsid w:val="00C2108F"/>
    <w:rsid w:val="00C2783E"/>
    <w:rsid w:val="00C3249B"/>
    <w:rsid w:val="00C32A04"/>
    <w:rsid w:val="00C357A5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1049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A68A9"/>
    <w:rsid w:val="00DB37C2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672A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48FA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C35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253D333CB6041AF606805FA02C7BF" ma:contentTypeVersion="6" ma:contentTypeDescription="Create a new document." ma:contentTypeScope="" ma:versionID="a2a8a6a6a441fc3e850be3018ee53d06">
  <xsd:schema xmlns:xsd="http://www.w3.org/2001/XMLSchema" xmlns:xs="http://www.w3.org/2001/XMLSchema" xmlns:p="http://schemas.microsoft.com/office/2006/metadata/properties" xmlns:ns2="340fd72a-1911-4833-9464-6a2ded123886" xmlns:ns3="e557f909-ccac-4f7d-8a03-adc819839664" targetNamespace="http://schemas.microsoft.com/office/2006/metadata/properties" ma:root="true" ma:fieldsID="ad5456b723e4bf0efa768b48100e9734" ns2:_="" ns3:_="">
    <xsd:import namespace="340fd72a-1911-4833-9464-6a2ded123886"/>
    <xsd:import namespace="e557f909-ccac-4f7d-8a03-adc8198396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d72a-1911-4833-9464-6a2ded12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f909-ccac-4f7d-8a03-adc819839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0A313-FBBB-4E50-A337-84A9503D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fd72a-1911-4833-9464-6a2ded123886"/>
    <ds:schemaRef ds:uri="e557f909-ccac-4f7d-8a03-adc819839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Wright, Orlanda</cp:lastModifiedBy>
  <cp:revision>5</cp:revision>
  <cp:lastPrinted>2010-08-25T14:42:00Z</cp:lastPrinted>
  <dcterms:created xsi:type="dcterms:W3CDTF">2023-04-17T14:05:00Z</dcterms:created>
  <dcterms:modified xsi:type="dcterms:W3CDTF">2024-07-31T17:44:00Z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0x010100D31253D333CB6041AF606805FA02C7BF</vt:lpwstr>
  </property>
</Properties>
</file>